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E6DEBA6" w:rsidR="00824604" w:rsidRPr="0011494D" w:rsidRDefault="001469DD" w:rsidP="299CC879">
      <w:pPr>
        <w:widowControl/>
        <w:pBdr>
          <w:top w:val="nil"/>
          <w:left w:val="nil"/>
          <w:bottom w:val="nil"/>
          <w:right w:val="nil"/>
          <w:between w:val="nil"/>
        </w:pBdr>
        <w:jc w:val="center"/>
        <w:rPr>
          <w:rFonts w:ascii="Aptos" w:eastAsia="Calibri" w:hAnsi="Aptos" w:cs="Calibri"/>
          <w:b/>
          <w:bCs/>
          <w:color w:val="000000"/>
          <w:sz w:val="28"/>
          <w:szCs w:val="28"/>
        </w:rPr>
      </w:pPr>
      <w:bookmarkStart w:id="0" w:name="_heading=h.gjdgxs"/>
      <w:bookmarkEnd w:id="0"/>
      <w:r w:rsidRPr="0011494D">
        <w:rPr>
          <w:rFonts w:ascii="Aptos" w:eastAsia="Calibri" w:hAnsi="Aptos" w:cs="Calibri"/>
          <w:b/>
          <w:bCs/>
          <w:color w:val="000000" w:themeColor="text1"/>
          <w:sz w:val="28"/>
          <w:szCs w:val="28"/>
        </w:rPr>
        <w:t>RFP</w:t>
      </w:r>
      <w:r w:rsidRPr="0011494D">
        <w:rPr>
          <w:rFonts w:ascii="Aptos" w:eastAsia="Calibri" w:hAnsi="Aptos" w:cs="Calibri"/>
          <w:b/>
          <w:bCs/>
          <w:sz w:val="28"/>
          <w:szCs w:val="28"/>
        </w:rPr>
        <w:t xml:space="preserve"> </w:t>
      </w:r>
      <w:r w:rsidR="6E7F63F7" w:rsidRPr="0011494D">
        <w:rPr>
          <w:rFonts w:ascii="Aptos" w:eastAsia="Calibri" w:hAnsi="Aptos" w:cs="Calibri"/>
          <w:b/>
          <w:bCs/>
          <w:sz w:val="28"/>
          <w:szCs w:val="28"/>
        </w:rPr>
        <w:t>25</w:t>
      </w:r>
      <w:r w:rsidR="00635E70" w:rsidRPr="0011494D">
        <w:rPr>
          <w:rFonts w:ascii="Aptos" w:eastAsia="Calibri" w:hAnsi="Aptos" w:cs="Calibri"/>
          <w:b/>
          <w:bCs/>
          <w:sz w:val="28"/>
          <w:szCs w:val="28"/>
        </w:rPr>
        <w:t>-</w:t>
      </w:r>
      <w:r w:rsidR="000C6139" w:rsidRPr="0011494D">
        <w:rPr>
          <w:rFonts w:ascii="Aptos" w:eastAsia="Calibri" w:hAnsi="Aptos" w:cs="Calibri"/>
          <w:b/>
          <w:bCs/>
          <w:sz w:val="28"/>
          <w:szCs w:val="28"/>
        </w:rPr>
        <w:t>83596</w:t>
      </w:r>
      <w:r w:rsidRPr="0011494D">
        <w:rPr>
          <w:rFonts w:ascii="Aptos" w:eastAsia="Calibri" w:hAnsi="Aptos" w:cs="Calibri"/>
          <w:b/>
          <w:bCs/>
          <w:color w:val="000000" w:themeColor="text1"/>
          <w:sz w:val="28"/>
          <w:szCs w:val="28"/>
        </w:rPr>
        <w:t xml:space="preserve">: </w:t>
      </w:r>
      <w:r w:rsidR="000C6139" w:rsidRPr="0011494D">
        <w:rPr>
          <w:rFonts w:ascii="Aptos" w:eastAsia="Calibri" w:hAnsi="Aptos" w:cs="Calibri"/>
          <w:b/>
          <w:bCs/>
          <w:sz w:val="28"/>
          <w:szCs w:val="28"/>
        </w:rPr>
        <w:t>ISP Health, Wellness, and Readiness Services</w:t>
      </w:r>
    </w:p>
    <w:p w14:paraId="00000002" w14:textId="09F642BC" w:rsidR="00824604" w:rsidRPr="0011494D" w:rsidRDefault="001469DD">
      <w:pPr>
        <w:widowControl/>
        <w:pBdr>
          <w:top w:val="nil"/>
          <w:left w:val="nil"/>
          <w:bottom w:val="nil"/>
          <w:right w:val="nil"/>
          <w:between w:val="nil"/>
        </w:pBdr>
        <w:jc w:val="center"/>
        <w:rPr>
          <w:rFonts w:ascii="Aptos" w:eastAsia="Calibri" w:hAnsi="Aptos" w:cs="Calibri"/>
          <w:b/>
          <w:color w:val="000000"/>
          <w:sz w:val="28"/>
          <w:szCs w:val="28"/>
        </w:rPr>
      </w:pPr>
      <w:r w:rsidRPr="0011494D">
        <w:rPr>
          <w:rFonts w:ascii="Aptos" w:eastAsia="Calibri" w:hAnsi="Aptos" w:cs="Calibri"/>
          <w:b/>
          <w:color w:val="000000"/>
          <w:sz w:val="28"/>
          <w:szCs w:val="28"/>
        </w:rPr>
        <w:t>Attachment F1: Minimum Requirements Form</w:t>
      </w:r>
    </w:p>
    <w:p w14:paraId="00000004" w14:textId="77777777" w:rsidR="00824604" w:rsidRPr="0011494D" w:rsidRDefault="00824604">
      <w:pPr>
        <w:rPr>
          <w:rFonts w:ascii="Aptos" w:eastAsia="Calibri" w:hAnsi="Aptos" w:cs="Calibri"/>
          <w:b/>
          <w:sz w:val="20"/>
          <w:szCs w:val="20"/>
        </w:rPr>
      </w:pPr>
    </w:p>
    <w:p w14:paraId="00000005" w14:textId="77777777" w:rsidR="00824604" w:rsidRPr="0011494D" w:rsidRDefault="001469DD">
      <w:pPr>
        <w:rPr>
          <w:rFonts w:ascii="Aptos" w:eastAsia="Calibri" w:hAnsi="Aptos" w:cs="Calibri"/>
          <w:b/>
          <w:color w:val="FF0000"/>
          <w:sz w:val="22"/>
          <w:szCs w:val="22"/>
        </w:rPr>
      </w:pPr>
      <w:r w:rsidRPr="0011494D">
        <w:rPr>
          <w:rFonts w:ascii="Aptos" w:eastAsia="Calibri" w:hAnsi="Aptos" w:cs="Calibri"/>
          <w:sz w:val="22"/>
          <w:szCs w:val="22"/>
        </w:rPr>
        <w:t xml:space="preserve">The Minimum Requirements indicate the basic requirements that all Respondents must adhere to be considered as a responsive Respondent. All Respondents must state their ability and willingness to meet these Minimum Requirements in their Executive Summary and in this attachment of their proposal. If a Respondent is unable to respond “Yes” to all Minimum Requirements but believes they have an alternative solution, please provide the alternative solution with an explanation. Alternatives will be reviewed and considered by the State as to whether they satisfy the minimum requirements. Failure to satisfy these Minimum Requirements may be considered grounds for disqualification from further consideration. </w:t>
      </w:r>
    </w:p>
    <w:p w14:paraId="00000006" w14:textId="77777777" w:rsidR="00824604" w:rsidRPr="0011494D" w:rsidRDefault="00824604">
      <w:pPr>
        <w:rPr>
          <w:rFonts w:ascii="Aptos" w:eastAsia="Calibri" w:hAnsi="Aptos" w:cs="Calibri"/>
          <w:b/>
          <w:color w:val="FF0000"/>
          <w:sz w:val="22"/>
          <w:szCs w:val="22"/>
        </w:rPr>
      </w:pPr>
    </w:p>
    <w:p w14:paraId="00000007" w14:textId="77777777" w:rsidR="00824604" w:rsidRPr="0011494D" w:rsidRDefault="001469DD">
      <w:pPr>
        <w:rPr>
          <w:rFonts w:ascii="Aptos" w:eastAsia="Calibri" w:hAnsi="Aptos" w:cs="Calibri"/>
          <w:b/>
          <w:sz w:val="22"/>
          <w:szCs w:val="22"/>
        </w:rPr>
      </w:pPr>
      <w:r w:rsidRPr="0011494D">
        <w:rPr>
          <w:rFonts w:ascii="Aptos" w:eastAsia="Calibri" w:hAnsi="Aptos" w:cs="Calibri"/>
          <w:b/>
          <w:sz w:val="22"/>
          <w:szCs w:val="22"/>
          <w:u w:val="single"/>
        </w:rPr>
        <w:t>Instructions</w:t>
      </w:r>
      <w:proofErr w:type="gramStart"/>
      <w:r w:rsidRPr="0011494D">
        <w:rPr>
          <w:rFonts w:ascii="Aptos" w:eastAsia="Calibri" w:hAnsi="Aptos" w:cs="Calibri"/>
          <w:b/>
          <w:sz w:val="22"/>
          <w:szCs w:val="22"/>
        </w:rPr>
        <w:t>:  In</w:t>
      </w:r>
      <w:proofErr w:type="gramEnd"/>
      <w:r w:rsidRPr="0011494D">
        <w:rPr>
          <w:rFonts w:ascii="Aptos" w:eastAsia="Calibri" w:hAnsi="Aptos" w:cs="Calibri"/>
          <w:b/>
          <w:sz w:val="22"/>
          <w:szCs w:val="22"/>
        </w:rPr>
        <w:t xml:space="preserve"> the yellow shaded boxes, please confirm the Respondent’s ability to meet each Minimum Requirement. </w:t>
      </w:r>
    </w:p>
    <w:p w14:paraId="00000008" w14:textId="77777777" w:rsidR="00824604" w:rsidRPr="0011494D" w:rsidRDefault="00824604">
      <w:pPr>
        <w:rPr>
          <w:rFonts w:ascii="Aptos" w:eastAsia="Calibri" w:hAnsi="Aptos" w:cs="Calibri"/>
          <w:b/>
          <w:i/>
          <w:sz w:val="22"/>
          <w:szCs w:val="22"/>
        </w:rPr>
      </w:pPr>
    </w:p>
    <w:p w14:paraId="00000009" w14:textId="77777777" w:rsidR="00824604" w:rsidRPr="0011494D" w:rsidRDefault="001469DD">
      <w:pPr>
        <w:rPr>
          <w:rFonts w:ascii="Aptos" w:eastAsia="Calibri" w:hAnsi="Aptos" w:cs="Calibri"/>
          <w:b/>
          <w:i/>
          <w:sz w:val="22"/>
          <w:szCs w:val="22"/>
        </w:rPr>
      </w:pPr>
      <w:r w:rsidRPr="0011494D">
        <w:rPr>
          <w:rFonts w:ascii="Aptos" w:eastAsia="Calibri" w:hAnsi="Aptos" w:cs="Calibri"/>
          <w:b/>
          <w:i/>
          <w:sz w:val="22"/>
          <w:szCs w:val="22"/>
        </w:rPr>
        <w:t xml:space="preserve">Respondent Name: </w:t>
      </w:r>
    </w:p>
    <w:tbl>
      <w:tblPr>
        <w:tblStyle w:val="a"/>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0"/>
      </w:tblGrid>
      <w:tr w:rsidR="00824604" w:rsidRPr="0011494D" w14:paraId="42462F36" w14:textId="77777777">
        <w:tc>
          <w:tcPr>
            <w:tcW w:w="10740" w:type="dxa"/>
            <w:shd w:val="clear" w:color="auto" w:fill="FFFFCC"/>
          </w:tcPr>
          <w:p w14:paraId="0000000A" w14:textId="77777777" w:rsidR="00824604" w:rsidRPr="0011494D" w:rsidRDefault="00824604">
            <w:pPr>
              <w:rPr>
                <w:rFonts w:ascii="Aptos" w:eastAsia="Calibri" w:hAnsi="Aptos" w:cs="Calibri"/>
                <w:b/>
                <w:i/>
                <w:sz w:val="22"/>
                <w:szCs w:val="22"/>
              </w:rPr>
            </w:pPr>
          </w:p>
        </w:tc>
      </w:tr>
    </w:tbl>
    <w:p w14:paraId="0000000B" w14:textId="77777777" w:rsidR="00824604" w:rsidRPr="0011494D" w:rsidRDefault="00824604">
      <w:pPr>
        <w:rPr>
          <w:rFonts w:ascii="Aptos" w:eastAsia="Calibri" w:hAnsi="Aptos" w:cs="Calibri"/>
          <w:b/>
          <w:i/>
          <w:sz w:val="22"/>
          <w:szCs w:val="22"/>
        </w:rPr>
      </w:pPr>
    </w:p>
    <w:tbl>
      <w:tblPr>
        <w:tblW w:w="1072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525"/>
        <w:gridCol w:w="7290"/>
        <w:gridCol w:w="1910"/>
      </w:tblGrid>
      <w:tr w:rsidR="00824604" w:rsidRPr="0011494D" w14:paraId="198E0655" w14:textId="77777777" w:rsidTr="0011494D">
        <w:trPr>
          <w:cantSplit/>
          <w:tblHeader/>
        </w:trPr>
        <w:tc>
          <w:tcPr>
            <w:tcW w:w="1525" w:type="dxa"/>
            <w:shd w:val="clear" w:color="auto" w:fill="D9D9D9" w:themeFill="background1" w:themeFillShade="D9"/>
            <w:vAlign w:val="center"/>
          </w:tcPr>
          <w:p w14:paraId="0000000C" w14:textId="77777777" w:rsidR="00824604" w:rsidRPr="0011494D" w:rsidRDefault="001469DD">
            <w:pPr>
              <w:jc w:val="center"/>
              <w:rPr>
                <w:rFonts w:ascii="Aptos" w:eastAsia="Calibri" w:hAnsi="Aptos" w:cs="Calibri"/>
                <w:b/>
                <w:sz w:val="22"/>
                <w:szCs w:val="22"/>
              </w:rPr>
            </w:pPr>
            <w:r w:rsidRPr="0011494D">
              <w:rPr>
                <w:rFonts w:ascii="Aptos" w:eastAsia="Calibri" w:hAnsi="Aptos" w:cs="Calibri"/>
                <w:b/>
                <w:sz w:val="22"/>
                <w:szCs w:val="22"/>
              </w:rPr>
              <w:t>Minimum Requirement Number</w:t>
            </w:r>
          </w:p>
        </w:tc>
        <w:tc>
          <w:tcPr>
            <w:tcW w:w="7290" w:type="dxa"/>
            <w:shd w:val="clear" w:color="auto" w:fill="D9D9D9" w:themeFill="background1" w:themeFillShade="D9"/>
            <w:vAlign w:val="center"/>
          </w:tcPr>
          <w:p w14:paraId="0000000D" w14:textId="77777777" w:rsidR="00824604" w:rsidRPr="0011494D" w:rsidRDefault="001469DD">
            <w:pPr>
              <w:jc w:val="center"/>
              <w:rPr>
                <w:rFonts w:ascii="Aptos" w:eastAsia="Calibri" w:hAnsi="Aptos" w:cs="Calibri"/>
                <w:b/>
                <w:sz w:val="22"/>
                <w:szCs w:val="22"/>
              </w:rPr>
            </w:pPr>
            <w:r w:rsidRPr="0011494D">
              <w:rPr>
                <w:rFonts w:ascii="Aptos" w:eastAsia="Calibri" w:hAnsi="Aptos" w:cs="Calibri"/>
                <w:b/>
                <w:sz w:val="22"/>
                <w:szCs w:val="22"/>
              </w:rPr>
              <w:t>Minimum Requirement Description</w:t>
            </w:r>
          </w:p>
        </w:tc>
        <w:tc>
          <w:tcPr>
            <w:tcW w:w="1910" w:type="dxa"/>
            <w:shd w:val="clear" w:color="auto" w:fill="D9D9D9" w:themeFill="background1" w:themeFillShade="D9"/>
            <w:vAlign w:val="center"/>
          </w:tcPr>
          <w:p w14:paraId="0000000E" w14:textId="77777777" w:rsidR="00824604" w:rsidRPr="0011494D" w:rsidRDefault="001469DD">
            <w:pPr>
              <w:jc w:val="center"/>
              <w:rPr>
                <w:rFonts w:ascii="Aptos" w:eastAsia="Calibri" w:hAnsi="Aptos" w:cs="Calibri"/>
                <w:b/>
                <w:sz w:val="22"/>
                <w:szCs w:val="22"/>
              </w:rPr>
            </w:pPr>
            <w:r w:rsidRPr="0011494D">
              <w:rPr>
                <w:rFonts w:ascii="Aptos" w:eastAsia="Calibri" w:hAnsi="Aptos" w:cs="Calibri"/>
                <w:b/>
                <w:sz w:val="22"/>
                <w:szCs w:val="22"/>
              </w:rPr>
              <w:t>Respondent Meets Minimum Requirement? (Yes/No)</w:t>
            </w:r>
          </w:p>
        </w:tc>
      </w:tr>
      <w:tr w:rsidR="00D643D6" w:rsidRPr="0011494D" w14:paraId="52B1A69C" w14:textId="77777777" w:rsidTr="0011494D">
        <w:trPr>
          <w:trHeight w:val="557"/>
        </w:trPr>
        <w:tc>
          <w:tcPr>
            <w:tcW w:w="1525" w:type="dxa"/>
            <w:vAlign w:val="center"/>
          </w:tcPr>
          <w:p w14:paraId="1B4705C7" w14:textId="476D5592" w:rsidR="00D643D6" w:rsidRPr="00404263" w:rsidRDefault="00D643D6" w:rsidP="00922DFB">
            <w:pPr>
              <w:pBdr>
                <w:top w:val="nil"/>
                <w:left w:val="nil"/>
                <w:bottom w:val="nil"/>
                <w:right w:val="nil"/>
                <w:between w:val="nil"/>
              </w:pBdr>
              <w:jc w:val="center"/>
              <w:rPr>
                <w:rFonts w:ascii="Aptos" w:eastAsia="Calibri" w:hAnsi="Aptos" w:cs="Calibri"/>
                <w:color w:val="000000"/>
                <w:sz w:val="22"/>
                <w:szCs w:val="22"/>
              </w:rPr>
            </w:pPr>
            <w:r w:rsidRPr="00404263">
              <w:rPr>
                <w:rFonts w:ascii="Aptos" w:eastAsia="Calibri" w:hAnsi="Aptos" w:cs="Calibri"/>
                <w:color w:val="000000"/>
                <w:sz w:val="22"/>
                <w:szCs w:val="22"/>
              </w:rPr>
              <w:t>1.</w:t>
            </w:r>
          </w:p>
        </w:tc>
        <w:tc>
          <w:tcPr>
            <w:tcW w:w="7290" w:type="dxa"/>
          </w:tcPr>
          <w:p w14:paraId="0EB570C6" w14:textId="1AE2D1CB" w:rsidR="00D643D6" w:rsidRPr="00404263" w:rsidRDefault="00404263" w:rsidP="0055274A">
            <w:pPr>
              <w:spacing w:line="276" w:lineRule="auto"/>
              <w:rPr>
                <w:rFonts w:ascii="Aptos" w:hAnsi="Aptos"/>
                <w:sz w:val="22"/>
                <w:szCs w:val="22"/>
              </w:rPr>
            </w:pPr>
            <w:r w:rsidRPr="00404263">
              <w:rPr>
                <w:rFonts w:ascii="Aptos" w:eastAsia="Calibri" w:hAnsi="Aptos" w:cs="Calibri"/>
                <w:sz w:val="22"/>
                <w:szCs w:val="22"/>
              </w:rPr>
              <w:t>The State requires that the Respondent adheres to the policies and standards defined in the Indiana Office of Technology’s (IOT) Information Security Framework (ISF), as specified in Scope of Work Section 1.4.10.</w:t>
            </w:r>
          </w:p>
        </w:tc>
        <w:tc>
          <w:tcPr>
            <w:tcW w:w="1910" w:type="dxa"/>
            <w:shd w:val="clear" w:color="auto" w:fill="FFFFCC"/>
          </w:tcPr>
          <w:p w14:paraId="61B4085C" w14:textId="77777777" w:rsidR="00D643D6" w:rsidRPr="0011494D" w:rsidRDefault="00D643D6">
            <w:pPr>
              <w:rPr>
                <w:rFonts w:ascii="Aptos" w:eastAsia="Calibri" w:hAnsi="Aptos" w:cs="Calibri"/>
                <w:sz w:val="22"/>
                <w:szCs w:val="22"/>
              </w:rPr>
            </w:pPr>
          </w:p>
        </w:tc>
      </w:tr>
      <w:tr w:rsidR="00F32369" w:rsidRPr="0011494D" w14:paraId="4FE42E56" w14:textId="77777777" w:rsidTr="0011494D">
        <w:trPr>
          <w:trHeight w:val="557"/>
        </w:trPr>
        <w:tc>
          <w:tcPr>
            <w:tcW w:w="1525" w:type="dxa"/>
            <w:vAlign w:val="center"/>
          </w:tcPr>
          <w:p w14:paraId="2A314E74" w14:textId="46428D90" w:rsidR="00F32369" w:rsidRPr="00F32369" w:rsidRDefault="00F32369" w:rsidP="00922DFB">
            <w:pPr>
              <w:pBdr>
                <w:top w:val="nil"/>
                <w:left w:val="nil"/>
                <w:bottom w:val="nil"/>
                <w:right w:val="nil"/>
                <w:between w:val="nil"/>
              </w:pBdr>
              <w:jc w:val="center"/>
              <w:rPr>
                <w:rFonts w:ascii="Aptos" w:eastAsia="Calibri" w:hAnsi="Aptos" w:cs="Calibri"/>
                <w:color w:val="000000"/>
                <w:sz w:val="22"/>
                <w:szCs w:val="22"/>
              </w:rPr>
            </w:pPr>
            <w:r w:rsidRPr="00F32369">
              <w:rPr>
                <w:rFonts w:ascii="Aptos" w:eastAsia="Calibri" w:hAnsi="Aptos" w:cs="Calibri"/>
                <w:color w:val="000000"/>
                <w:sz w:val="22"/>
                <w:szCs w:val="22"/>
              </w:rPr>
              <w:t>2.</w:t>
            </w:r>
          </w:p>
        </w:tc>
        <w:tc>
          <w:tcPr>
            <w:tcW w:w="7290" w:type="dxa"/>
          </w:tcPr>
          <w:p w14:paraId="409B8ADD" w14:textId="5244999E" w:rsidR="00F32369" w:rsidRPr="00F32369" w:rsidRDefault="00F32369" w:rsidP="0055274A">
            <w:pPr>
              <w:spacing w:line="276" w:lineRule="auto"/>
              <w:rPr>
                <w:rFonts w:ascii="Aptos" w:hAnsi="Aptos"/>
                <w:sz w:val="22"/>
                <w:szCs w:val="22"/>
              </w:rPr>
            </w:pPr>
            <w:r w:rsidRPr="00F32369">
              <w:rPr>
                <w:rFonts w:ascii="Aptos" w:eastAsia="Calibri" w:hAnsi="Aptos" w:cs="Calibri"/>
                <w:sz w:val="22"/>
                <w:szCs w:val="22"/>
              </w:rPr>
              <w:t>The State requires that the Respondent accepts the forms of payment specified in Scope of Work section 1.4.</w:t>
            </w:r>
            <w:r w:rsidR="00F028A1">
              <w:rPr>
                <w:rFonts w:ascii="Aptos" w:eastAsia="Calibri" w:hAnsi="Aptos" w:cs="Calibri"/>
                <w:sz w:val="22"/>
                <w:szCs w:val="22"/>
              </w:rPr>
              <w:t>5.3</w:t>
            </w:r>
            <w:r w:rsidRPr="00F32369">
              <w:rPr>
                <w:rFonts w:ascii="Aptos" w:eastAsia="Calibri" w:hAnsi="Aptos" w:cs="Calibri"/>
                <w:sz w:val="22"/>
                <w:szCs w:val="22"/>
              </w:rPr>
              <w:t>.</w:t>
            </w:r>
            <w:r w:rsidR="00266420">
              <w:rPr>
                <w:rFonts w:ascii="Aptos" w:eastAsia="Calibri" w:hAnsi="Aptos" w:cs="Calibri"/>
                <w:sz w:val="22"/>
                <w:szCs w:val="22"/>
              </w:rPr>
              <w:t xml:space="preserve">  The State also retains the right</w:t>
            </w:r>
            <w:r w:rsidR="000B2243">
              <w:rPr>
                <w:rFonts w:ascii="Aptos" w:eastAsia="Calibri" w:hAnsi="Aptos" w:cs="Calibri"/>
                <w:sz w:val="22"/>
                <w:szCs w:val="22"/>
              </w:rPr>
              <w:t xml:space="preserve"> to select services on an a la carte basis.</w:t>
            </w:r>
          </w:p>
        </w:tc>
        <w:tc>
          <w:tcPr>
            <w:tcW w:w="1910" w:type="dxa"/>
            <w:shd w:val="clear" w:color="auto" w:fill="FFFFCC"/>
          </w:tcPr>
          <w:p w14:paraId="2A2B0825" w14:textId="77777777" w:rsidR="00F32369" w:rsidRPr="0011494D" w:rsidRDefault="00F32369">
            <w:pPr>
              <w:rPr>
                <w:rFonts w:ascii="Aptos" w:eastAsia="Calibri" w:hAnsi="Aptos" w:cs="Calibri"/>
                <w:sz w:val="22"/>
                <w:szCs w:val="22"/>
              </w:rPr>
            </w:pPr>
          </w:p>
        </w:tc>
      </w:tr>
      <w:tr w:rsidR="00824604" w:rsidRPr="0011494D" w14:paraId="7895AAF1" w14:textId="77777777" w:rsidTr="0011494D">
        <w:trPr>
          <w:trHeight w:val="557"/>
        </w:trPr>
        <w:tc>
          <w:tcPr>
            <w:tcW w:w="1525" w:type="dxa"/>
            <w:vAlign w:val="center"/>
          </w:tcPr>
          <w:p w14:paraId="0000000F" w14:textId="5FFC66B3" w:rsidR="00824604" w:rsidRPr="00214BB0" w:rsidRDefault="00304ABE" w:rsidP="00922DFB">
            <w:pPr>
              <w:pBdr>
                <w:top w:val="nil"/>
                <w:left w:val="nil"/>
                <w:bottom w:val="nil"/>
                <w:right w:val="nil"/>
                <w:between w:val="nil"/>
              </w:pBdr>
              <w:jc w:val="center"/>
              <w:rPr>
                <w:rFonts w:ascii="Aptos" w:eastAsia="Calibri" w:hAnsi="Aptos" w:cs="Calibri"/>
                <w:color w:val="000000"/>
                <w:sz w:val="22"/>
                <w:szCs w:val="22"/>
              </w:rPr>
            </w:pPr>
            <w:r>
              <w:rPr>
                <w:rFonts w:ascii="Aptos" w:eastAsia="Calibri" w:hAnsi="Aptos" w:cs="Calibri"/>
                <w:color w:val="000000"/>
                <w:sz w:val="22"/>
                <w:szCs w:val="22"/>
              </w:rPr>
              <w:t>3</w:t>
            </w:r>
            <w:r w:rsidR="007F4A14" w:rsidRPr="00214BB0">
              <w:rPr>
                <w:rFonts w:ascii="Aptos" w:eastAsia="Calibri" w:hAnsi="Aptos" w:cs="Calibri"/>
                <w:color w:val="000000"/>
                <w:sz w:val="22"/>
                <w:szCs w:val="22"/>
              </w:rPr>
              <w:t>.</w:t>
            </w:r>
          </w:p>
        </w:tc>
        <w:tc>
          <w:tcPr>
            <w:tcW w:w="7290" w:type="dxa"/>
          </w:tcPr>
          <w:p w14:paraId="30FE6BBD" w14:textId="77777777" w:rsidR="00922DFB" w:rsidRPr="00214BB0" w:rsidRDefault="00922DFB" w:rsidP="0055274A">
            <w:pPr>
              <w:spacing w:line="276" w:lineRule="auto"/>
              <w:rPr>
                <w:rFonts w:ascii="Aptos" w:hAnsi="Aptos"/>
                <w:sz w:val="22"/>
                <w:szCs w:val="22"/>
              </w:rPr>
            </w:pPr>
            <w:r w:rsidRPr="00214BB0">
              <w:rPr>
                <w:rFonts w:ascii="Aptos" w:hAnsi="Aptos"/>
                <w:sz w:val="22"/>
                <w:szCs w:val="22"/>
              </w:rPr>
              <w:t>Medical examinations shall be completed by Board Certified Occupational Health Physicians, certified Advanced Registered Nurse Practitioners (ARNP) or certified Physician Assistants (PA) duly licensed to practice in the State of Indiana.</w:t>
            </w:r>
          </w:p>
          <w:p w14:paraId="2B780B6D" w14:textId="77777777" w:rsidR="00922DFB" w:rsidRPr="00214BB0" w:rsidRDefault="00922DFB" w:rsidP="0055274A">
            <w:pPr>
              <w:spacing w:line="276" w:lineRule="auto"/>
              <w:rPr>
                <w:rFonts w:ascii="Aptos" w:hAnsi="Aptos"/>
                <w:sz w:val="22"/>
                <w:szCs w:val="22"/>
              </w:rPr>
            </w:pPr>
          </w:p>
          <w:p w14:paraId="375B1F4D" w14:textId="77777777" w:rsidR="00922DFB" w:rsidRPr="00214BB0" w:rsidRDefault="00922DFB" w:rsidP="0055274A">
            <w:pPr>
              <w:pStyle w:val="NoSpacing"/>
              <w:spacing w:line="276" w:lineRule="auto"/>
              <w:rPr>
                <w:rFonts w:ascii="Aptos" w:hAnsi="Aptos"/>
                <w:sz w:val="22"/>
                <w:szCs w:val="22"/>
              </w:rPr>
            </w:pPr>
            <w:r w:rsidRPr="00214BB0">
              <w:rPr>
                <w:rFonts w:ascii="Aptos" w:hAnsi="Aptos"/>
                <w:sz w:val="22"/>
                <w:szCs w:val="22"/>
              </w:rPr>
              <w:t>Respondents shall provide proof of licenses, certifications and/or qualifications of the professionals providing the required services (redact all personal information).</w:t>
            </w:r>
          </w:p>
          <w:p w14:paraId="3DCCAA7C" w14:textId="77777777" w:rsidR="00922DFB" w:rsidRPr="00214BB0" w:rsidRDefault="00922DFB" w:rsidP="0055274A">
            <w:pPr>
              <w:pStyle w:val="NoSpacing"/>
              <w:spacing w:line="276" w:lineRule="auto"/>
              <w:rPr>
                <w:rFonts w:ascii="Aptos" w:hAnsi="Aptos"/>
                <w:sz w:val="22"/>
                <w:szCs w:val="22"/>
              </w:rPr>
            </w:pPr>
          </w:p>
          <w:p w14:paraId="00000010" w14:textId="6FB524E5" w:rsidR="002559AE" w:rsidRPr="00214BB0" w:rsidRDefault="00922DFB" w:rsidP="0055274A">
            <w:pPr>
              <w:spacing w:line="276" w:lineRule="auto"/>
              <w:rPr>
                <w:rFonts w:ascii="Aptos" w:eastAsia="Calibri" w:hAnsi="Aptos" w:cs="Calibri"/>
                <w:sz w:val="22"/>
                <w:szCs w:val="22"/>
              </w:rPr>
            </w:pPr>
            <w:r w:rsidRPr="00214BB0">
              <w:rPr>
                <w:rFonts w:ascii="Aptos" w:hAnsi="Aptos"/>
                <w:sz w:val="22"/>
                <w:szCs w:val="22"/>
              </w:rPr>
              <w:t>Please note that the State of Indiana shall not be responsible for expenses incurred by the requestor’s Professional Medical Staff and/or the requestor’s business entity to maintain current licenses, certifications and continuing education costs.</w:t>
            </w:r>
          </w:p>
        </w:tc>
        <w:tc>
          <w:tcPr>
            <w:tcW w:w="1910" w:type="dxa"/>
            <w:shd w:val="clear" w:color="auto" w:fill="FFFFCC"/>
          </w:tcPr>
          <w:p w14:paraId="00000011" w14:textId="4AAA0F71" w:rsidR="00824604" w:rsidRPr="0011494D" w:rsidRDefault="00824604">
            <w:pPr>
              <w:rPr>
                <w:rFonts w:ascii="Aptos" w:eastAsia="Calibri" w:hAnsi="Aptos" w:cs="Calibri"/>
                <w:sz w:val="22"/>
                <w:szCs w:val="22"/>
              </w:rPr>
            </w:pPr>
          </w:p>
        </w:tc>
      </w:tr>
      <w:tr w:rsidR="004E40C6" w:rsidRPr="0011494D" w14:paraId="1152B075" w14:textId="77777777" w:rsidTr="0011494D">
        <w:tc>
          <w:tcPr>
            <w:tcW w:w="1525" w:type="dxa"/>
            <w:vAlign w:val="center"/>
          </w:tcPr>
          <w:p w14:paraId="00000012" w14:textId="2CDE4E33" w:rsidR="004E40C6" w:rsidRPr="00214BB0" w:rsidRDefault="00304ABE" w:rsidP="004E40C6">
            <w:pPr>
              <w:pBdr>
                <w:top w:val="nil"/>
                <w:left w:val="nil"/>
                <w:bottom w:val="nil"/>
                <w:right w:val="nil"/>
                <w:between w:val="nil"/>
              </w:pBdr>
              <w:jc w:val="center"/>
              <w:rPr>
                <w:rFonts w:ascii="Aptos" w:eastAsia="Calibri" w:hAnsi="Aptos" w:cs="Calibri"/>
                <w:sz w:val="22"/>
                <w:szCs w:val="22"/>
              </w:rPr>
            </w:pPr>
            <w:r>
              <w:rPr>
                <w:rFonts w:ascii="Aptos" w:eastAsia="Calibri" w:hAnsi="Aptos" w:cs="Calibri"/>
                <w:sz w:val="22"/>
                <w:szCs w:val="22"/>
              </w:rPr>
              <w:t>4</w:t>
            </w:r>
            <w:r w:rsidR="004E40C6" w:rsidRPr="00214BB0">
              <w:rPr>
                <w:rFonts w:ascii="Aptos" w:eastAsia="Calibri" w:hAnsi="Aptos" w:cs="Calibri"/>
                <w:sz w:val="22"/>
                <w:szCs w:val="22"/>
              </w:rPr>
              <w:t>.</w:t>
            </w:r>
          </w:p>
        </w:tc>
        <w:tc>
          <w:tcPr>
            <w:tcW w:w="7290" w:type="dxa"/>
          </w:tcPr>
          <w:p w14:paraId="6BB0A698" w14:textId="26EB698E" w:rsidR="004E40C6" w:rsidRPr="00214BB0" w:rsidRDefault="004E40C6" w:rsidP="0055274A">
            <w:pPr>
              <w:spacing w:line="276" w:lineRule="auto"/>
              <w:rPr>
                <w:rFonts w:ascii="Aptos" w:hAnsi="Aptos"/>
                <w:sz w:val="22"/>
                <w:szCs w:val="22"/>
              </w:rPr>
            </w:pPr>
            <w:r w:rsidRPr="00214BB0">
              <w:rPr>
                <w:rFonts w:ascii="Aptos" w:hAnsi="Aptos"/>
                <w:sz w:val="22"/>
                <w:szCs w:val="22"/>
              </w:rPr>
              <w:t>Respondents should be able to perform the medical tests listed below.  Working with ISP, these tests could be a part of the battery of testing that occurs as part of the pre-employment medical testing, fitness for duty exams, return to duty exams, disability exams, concussion tests, and annual testing:</w:t>
            </w:r>
          </w:p>
          <w:p w14:paraId="72F411D2"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lastRenderedPageBreak/>
              <w:t>Vital signs (height, weight, BMI, BP, respirations, pulse)</w:t>
            </w:r>
          </w:p>
          <w:p w14:paraId="185CA831"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Vision acuity and color</w:t>
            </w:r>
          </w:p>
          <w:p w14:paraId="35AD1FDE"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Pulmonary function test</w:t>
            </w:r>
          </w:p>
          <w:p w14:paraId="4DAC46BD"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Audiometry</w:t>
            </w:r>
          </w:p>
          <w:p w14:paraId="65229840"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EKG with interpretation</w:t>
            </w:r>
          </w:p>
          <w:p w14:paraId="7B37B60C"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Urinalysis (dipstick)</w:t>
            </w:r>
          </w:p>
          <w:p w14:paraId="234FF2A8"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Speech discrimination</w:t>
            </w:r>
          </w:p>
          <w:p w14:paraId="4D1CDA17"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Comprehensive medical exam</w:t>
            </w:r>
          </w:p>
          <w:p w14:paraId="66E793FF"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Chest X-Ray</w:t>
            </w:r>
          </w:p>
          <w:p w14:paraId="5D259033"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Impact test psych concussion test</w:t>
            </w:r>
          </w:p>
          <w:p w14:paraId="0519EA52"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VO2 max</w:t>
            </w:r>
          </w:p>
          <w:p w14:paraId="4E3EED95"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Muscular strength endurance test</w:t>
            </w:r>
          </w:p>
          <w:p w14:paraId="5F2D43E5"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Flexibility test</w:t>
            </w:r>
          </w:p>
          <w:p w14:paraId="66928F11"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Waist/hip ratio</w:t>
            </w:r>
          </w:p>
          <w:p w14:paraId="1F876814"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Body fat test</w:t>
            </w:r>
          </w:p>
          <w:p w14:paraId="28B08622"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CMP (Comprehensive Metabolic Panel)</w:t>
            </w:r>
          </w:p>
          <w:p w14:paraId="1716890A"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CBC (Comprehensive Blood Count)</w:t>
            </w:r>
          </w:p>
          <w:p w14:paraId="5694116F"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Lipid Panel (Total Cholesterol, HDL, LDL, and ratio)</w:t>
            </w:r>
          </w:p>
          <w:p w14:paraId="096DB023"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Venipuncture</w:t>
            </w:r>
          </w:p>
          <w:p w14:paraId="500AD5E7"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QuantiFERON – Tb (blood)</w:t>
            </w:r>
          </w:p>
          <w:p w14:paraId="4ABCD8AF"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Lead level (blood)</w:t>
            </w:r>
          </w:p>
          <w:p w14:paraId="49D17C47"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Hepatitis B (quantitative)</w:t>
            </w:r>
          </w:p>
          <w:p w14:paraId="04998D4F"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Td Vacc (tetanus, diphtheria)</w:t>
            </w:r>
          </w:p>
          <w:p w14:paraId="11CEB731" w14:textId="77777777"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Hep A (two dose series)</w:t>
            </w:r>
          </w:p>
          <w:p w14:paraId="00000013" w14:textId="42567BB6" w:rsidR="004E40C6" w:rsidRPr="00214BB0" w:rsidRDefault="004E40C6" w:rsidP="0055274A">
            <w:pPr>
              <w:pStyle w:val="ListParagraph"/>
              <w:numPr>
                <w:ilvl w:val="0"/>
                <w:numId w:val="3"/>
              </w:numPr>
              <w:spacing w:line="276" w:lineRule="auto"/>
              <w:rPr>
                <w:rFonts w:ascii="Aptos" w:eastAsia="Calibri" w:hAnsi="Aptos" w:cs="Calibri"/>
                <w:sz w:val="22"/>
                <w:szCs w:val="22"/>
              </w:rPr>
            </w:pPr>
            <w:r w:rsidRPr="00214BB0">
              <w:rPr>
                <w:rFonts w:ascii="Aptos" w:eastAsia="Calibri" w:hAnsi="Aptos" w:cs="Calibri"/>
                <w:sz w:val="22"/>
                <w:szCs w:val="22"/>
              </w:rPr>
              <w:t>Hep B (two dose series)</w:t>
            </w:r>
          </w:p>
        </w:tc>
        <w:tc>
          <w:tcPr>
            <w:tcW w:w="1910" w:type="dxa"/>
            <w:shd w:val="clear" w:color="auto" w:fill="FFFFCC"/>
          </w:tcPr>
          <w:p w14:paraId="00000014" w14:textId="77777777" w:rsidR="004E40C6" w:rsidRPr="0011494D" w:rsidRDefault="004E40C6" w:rsidP="004E40C6">
            <w:pPr>
              <w:rPr>
                <w:rFonts w:ascii="Aptos" w:eastAsia="Calibri" w:hAnsi="Aptos" w:cs="Calibri"/>
                <w:sz w:val="22"/>
                <w:szCs w:val="22"/>
              </w:rPr>
            </w:pPr>
          </w:p>
        </w:tc>
      </w:tr>
      <w:tr w:rsidR="00824604" w:rsidRPr="0011494D" w14:paraId="2C4845C2" w14:textId="77777777" w:rsidTr="0011494D">
        <w:tc>
          <w:tcPr>
            <w:tcW w:w="1525" w:type="dxa"/>
            <w:vAlign w:val="center"/>
          </w:tcPr>
          <w:p w14:paraId="00000015" w14:textId="044B9AE6" w:rsidR="00824604" w:rsidRPr="00214BB0" w:rsidRDefault="00304ABE" w:rsidP="00523E67">
            <w:pPr>
              <w:pBdr>
                <w:top w:val="nil"/>
                <w:left w:val="nil"/>
                <w:bottom w:val="nil"/>
                <w:right w:val="nil"/>
                <w:between w:val="nil"/>
              </w:pBdr>
              <w:jc w:val="center"/>
              <w:rPr>
                <w:rFonts w:ascii="Aptos" w:eastAsia="Calibri" w:hAnsi="Aptos" w:cs="Calibri"/>
                <w:sz w:val="22"/>
                <w:szCs w:val="22"/>
              </w:rPr>
            </w:pPr>
            <w:r>
              <w:rPr>
                <w:rFonts w:ascii="Aptos" w:eastAsia="Calibri" w:hAnsi="Aptos" w:cs="Calibri"/>
                <w:sz w:val="22"/>
                <w:szCs w:val="22"/>
              </w:rPr>
              <w:t>5</w:t>
            </w:r>
            <w:r w:rsidR="00523E67" w:rsidRPr="00214BB0">
              <w:rPr>
                <w:rFonts w:ascii="Aptos" w:eastAsia="Calibri" w:hAnsi="Aptos" w:cs="Calibri"/>
                <w:sz w:val="22"/>
                <w:szCs w:val="22"/>
              </w:rPr>
              <w:t>.</w:t>
            </w:r>
          </w:p>
        </w:tc>
        <w:tc>
          <w:tcPr>
            <w:tcW w:w="7290" w:type="dxa"/>
          </w:tcPr>
          <w:p w14:paraId="4823A414" w14:textId="2C96AD08" w:rsidR="00523E67" w:rsidRPr="00214BB0" w:rsidRDefault="00523E67" w:rsidP="0055274A">
            <w:pPr>
              <w:spacing w:line="276" w:lineRule="auto"/>
              <w:rPr>
                <w:rFonts w:ascii="Aptos" w:eastAsia="Calibri" w:hAnsi="Aptos" w:cs="Calibri"/>
                <w:sz w:val="22"/>
                <w:szCs w:val="22"/>
              </w:rPr>
            </w:pPr>
            <w:r w:rsidRPr="00214BB0">
              <w:rPr>
                <w:rFonts w:ascii="Aptos" w:eastAsia="Calibri" w:hAnsi="Aptos" w:cs="Calibri"/>
                <w:sz w:val="22"/>
                <w:szCs w:val="22"/>
              </w:rPr>
              <w:t>In terms of psychological services, it is required that:</w:t>
            </w:r>
          </w:p>
          <w:p w14:paraId="1A5A5CD9" w14:textId="61305FEF" w:rsidR="00523E67" w:rsidRPr="00214BB0" w:rsidRDefault="003E64BE" w:rsidP="007B5D55">
            <w:pPr>
              <w:pStyle w:val="ListParagraph"/>
              <w:numPr>
                <w:ilvl w:val="0"/>
                <w:numId w:val="4"/>
              </w:numPr>
              <w:spacing w:line="276" w:lineRule="auto"/>
              <w:rPr>
                <w:rFonts w:ascii="Aptos" w:eastAsia="Calibri" w:hAnsi="Aptos" w:cs="Calibri"/>
                <w:sz w:val="22"/>
                <w:szCs w:val="22"/>
              </w:rPr>
            </w:pPr>
            <w:r>
              <w:rPr>
                <w:rFonts w:ascii="Aptos" w:eastAsia="Calibri" w:hAnsi="Aptos" w:cs="Calibri"/>
                <w:sz w:val="22"/>
                <w:szCs w:val="22"/>
              </w:rPr>
              <w:t>Ps</w:t>
            </w:r>
            <w:r w:rsidR="007E6E84">
              <w:rPr>
                <w:rFonts w:ascii="Aptos" w:eastAsia="Calibri" w:hAnsi="Aptos" w:cs="Calibri"/>
                <w:sz w:val="22"/>
                <w:szCs w:val="22"/>
              </w:rPr>
              <w:t>ychologists</w:t>
            </w:r>
            <w:r w:rsidR="00523E67" w:rsidRPr="00214BB0">
              <w:rPr>
                <w:rFonts w:ascii="Aptos" w:eastAsia="Calibri" w:hAnsi="Aptos" w:cs="Calibri"/>
                <w:sz w:val="22"/>
                <w:szCs w:val="22"/>
              </w:rPr>
              <w:t xml:space="preserve"> must have a minimum of a PhD with a certification of HSPP (Health Service Provider in Psychology)</w:t>
            </w:r>
            <w:r w:rsidR="007B5D55">
              <w:rPr>
                <w:rFonts w:ascii="Aptos" w:eastAsia="Calibri" w:hAnsi="Aptos" w:cs="Calibri"/>
                <w:sz w:val="22"/>
                <w:szCs w:val="22"/>
              </w:rPr>
              <w:t>.</w:t>
            </w:r>
          </w:p>
          <w:p w14:paraId="17A8B28C" w14:textId="17DD4E2F" w:rsidR="00523E67" w:rsidRPr="00214BB0" w:rsidRDefault="00523E67" w:rsidP="007B5D55">
            <w:pPr>
              <w:pStyle w:val="ListParagraph"/>
              <w:numPr>
                <w:ilvl w:val="0"/>
                <w:numId w:val="4"/>
              </w:numPr>
              <w:spacing w:line="276" w:lineRule="auto"/>
              <w:rPr>
                <w:rFonts w:ascii="Aptos" w:eastAsia="Calibri" w:hAnsi="Aptos" w:cs="Calibri"/>
                <w:sz w:val="22"/>
                <w:szCs w:val="22"/>
              </w:rPr>
            </w:pPr>
            <w:r w:rsidRPr="00214BB0">
              <w:rPr>
                <w:rFonts w:ascii="Aptos" w:eastAsia="Calibri" w:hAnsi="Aptos" w:cs="Calibri"/>
                <w:sz w:val="22"/>
                <w:szCs w:val="22"/>
              </w:rPr>
              <w:t>Clinicians must have a minimum of five (5) years of experience in testing, evaluating and interviewing law enforcement personnel</w:t>
            </w:r>
            <w:r w:rsidR="007B5D55">
              <w:rPr>
                <w:rFonts w:ascii="Aptos" w:eastAsia="Calibri" w:hAnsi="Aptos" w:cs="Calibri"/>
                <w:sz w:val="22"/>
                <w:szCs w:val="22"/>
              </w:rPr>
              <w:t>.</w:t>
            </w:r>
          </w:p>
          <w:p w14:paraId="107562AB" w14:textId="77777777" w:rsidR="007B5D55" w:rsidRPr="007B5D55" w:rsidRDefault="007B5D55" w:rsidP="007B5D55">
            <w:pPr>
              <w:widowControl/>
              <w:numPr>
                <w:ilvl w:val="0"/>
                <w:numId w:val="4"/>
              </w:numPr>
              <w:spacing w:before="100" w:beforeAutospacing="1" w:after="100" w:afterAutospacing="1" w:line="276" w:lineRule="auto"/>
              <w:rPr>
                <w:rFonts w:ascii="Aptos" w:eastAsia="Times New Roman" w:hAnsi="Aptos"/>
                <w:color w:val="000000"/>
                <w:sz w:val="22"/>
                <w:szCs w:val="22"/>
              </w:rPr>
            </w:pPr>
            <w:r w:rsidRPr="007B5D55">
              <w:rPr>
                <w:rFonts w:ascii="Aptos" w:eastAsia="Times New Roman" w:hAnsi="Aptos"/>
                <w:color w:val="000000"/>
                <w:sz w:val="22"/>
                <w:szCs w:val="22"/>
              </w:rPr>
              <w:t>All clinicians and trainers must have demonstrated experience working with first responders, including familiarity with high-stress occupations, shift work, and family dynamics.</w:t>
            </w:r>
          </w:p>
          <w:p w14:paraId="3DD663CD" w14:textId="77777777" w:rsidR="00523E67" w:rsidRPr="00214BB0" w:rsidRDefault="00523E67" w:rsidP="007B5D55">
            <w:pPr>
              <w:pStyle w:val="ListParagraph"/>
              <w:numPr>
                <w:ilvl w:val="0"/>
                <w:numId w:val="4"/>
              </w:numPr>
              <w:spacing w:line="276" w:lineRule="auto"/>
              <w:rPr>
                <w:rFonts w:ascii="Aptos" w:eastAsia="Calibri" w:hAnsi="Aptos" w:cs="Calibri"/>
                <w:sz w:val="22"/>
                <w:szCs w:val="22"/>
              </w:rPr>
            </w:pPr>
            <w:r w:rsidRPr="00214BB0">
              <w:rPr>
                <w:rFonts w:ascii="Aptos" w:eastAsia="Calibri" w:hAnsi="Aptos" w:cs="Calibri"/>
                <w:sz w:val="22"/>
                <w:szCs w:val="22"/>
              </w:rPr>
              <w:t>The respondent must have the ability to interview, evaluate, and assess up to twelve (12) trooper, MCI, or CPS applicants per day with up to a total of approximately 100 applicants per selection process.  There are usually two processes per year.</w:t>
            </w:r>
          </w:p>
          <w:p w14:paraId="00000016" w14:textId="4FDE144D" w:rsidR="000D0CD7" w:rsidRPr="00214BB0" w:rsidRDefault="00523E67" w:rsidP="007B5D55">
            <w:pPr>
              <w:pStyle w:val="ListParagraph"/>
              <w:numPr>
                <w:ilvl w:val="0"/>
                <w:numId w:val="4"/>
              </w:numPr>
              <w:spacing w:line="276" w:lineRule="auto"/>
              <w:rPr>
                <w:rFonts w:ascii="Aptos" w:eastAsia="Calibri" w:hAnsi="Aptos" w:cs="Calibri"/>
                <w:sz w:val="22"/>
                <w:szCs w:val="22"/>
              </w:rPr>
            </w:pPr>
            <w:r w:rsidRPr="00214BB0">
              <w:rPr>
                <w:rFonts w:ascii="Aptos" w:eastAsia="Calibri" w:hAnsi="Aptos" w:cs="Calibri"/>
                <w:sz w:val="22"/>
                <w:szCs w:val="22"/>
              </w:rPr>
              <w:t xml:space="preserve">Fitness for duty, return to duty, post-critical incident, and disability </w:t>
            </w:r>
            <w:r w:rsidRPr="00214BB0">
              <w:rPr>
                <w:rFonts w:ascii="Aptos" w:eastAsia="Calibri" w:hAnsi="Aptos" w:cs="Calibri"/>
                <w:sz w:val="22"/>
                <w:szCs w:val="22"/>
              </w:rPr>
              <w:lastRenderedPageBreak/>
              <w:t>examinations must be able to be scheduled within one (1) business day and completed within two (2) to five (5) business.</w:t>
            </w:r>
          </w:p>
        </w:tc>
        <w:tc>
          <w:tcPr>
            <w:tcW w:w="1910" w:type="dxa"/>
            <w:shd w:val="clear" w:color="auto" w:fill="FFFFCC"/>
          </w:tcPr>
          <w:p w14:paraId="00000017" w14:textId="77777777" w:rsidR="00824604" w:rsidRPr="0011494D" w:rsidRDefault="00824604">
            <w:pPr>
              <w:rPr>
                <w:rFonts w:ascii="Aptos" w:eastAsia="Calibri" w:hAnsi="Aptos" w:cs="Calibri"/>
                <w:sz w:val="22"/>
                <w:szCs w:val="22"/>
              </w:rPr>
            </w:pPr>
          </w:p>
        </w:tc>
      </w:tr>
      <w:tr w:rsidR="00824604" w:rsidRPr="0011494D" w14:paraId="6BA8E15D" w14:textId="77777777" w:rsidTr="0011494D">
        <w:tc>
          <w:tcPr>
            <w:tcW w:w="1525" w:type="dxa"/>
            <w:vAlign w:val="center"/>
          </w:tcPr>
          <w:p w14:paraId="00000018" w14:textId="1224C7A2" w:rsidR="00824604" w:rsidRPr="00214BB0" w:rsidRDefault="00304ABE" w:rsidP="007B071B">
            <w:pPr>
              <w:pBdr>
                <w:top w:val="nil"/>
                <w:left w:val="nil"/>
                <w:bottom w:val="nil"/>
                <w:right w:val="nil"/>
                <w:between w:val="nil"/>
              </w:pBdr>
              <w:jc w:val="center"/>
              <w:rPr>
                <w:rFonts w:ascii="Aptos" w:eastAsia="Calibri" w:hAnsi="Aptos" w:cs="Calibri"/>
                <w:sz w:val="22"/>
                <w:szCs w:val="22"/>
              </w:rPr>
            </w:pPr>
            <w:r>
              <w:rPr>
                <w:rFonts w:ascii="Aptos" w:eastAsia="Calibri" w:hAnsi="Aptos" w:cs="Calibri"/>
                <w:sz w:val="22"/>
                <w:szCs w:val="22"/>
              </w:rPr>
              <w:t>6</w:t>
            </w:r>
            <w:r w:rsidR="007B071B" w:rsidRPr="00214BB0">
              <w:rPr>
                <w:rFonts w:ascii="Aptos" w:eastAsia="Calibri" w:hAnsi="Aptos" w:cs="Calibri"/>
                <w:sz w:val="22"/>
                <w:szCs w:val="22"/>
              </w:rPr>
              <w:t>.</w:t>
            </w:r>
          </w:p>
        </w:tc>
        <w:tc>
          <w:tcPr>
            <w:tcW w:w="7290" w:type="dxa"/>
          </w:tcPr>
          <w:p w14:paraId="5551262A" w14:textId="035C2D2E" w:rsidR="007B071B" w:rsidRPr="00214BB0" w:rsidRDefault="007B071B" w:rsidP="0055274A">
            <w:pPr>
              <w:spacing w:line="276" w:lineRule="auto"/>
              <w:rPr>
                <w:rFonts w:ascii="Aptos" w:eastAsia="Calibri" w:hAnsi="Aptos" w:cs="Calibri"/>
                <w:sz w:val="22"/>
                <w:szCs w:val="22"/>
              </w:rPr>
            </w:pPr>
            <w:r w:rsidRPr="00214BB0">
              <w:rPr>
                <w:rFonts w:ascii="Aptos" w:eastAsia="Calibri" w:hAnsi="Aptos" w:cs="Calibri"/>
                <w:sz w:val="22"/>
                <w:szCs w:val="22"/>
              </w:rPr>
              <w:t>Psychological evaluations for law enforcement applicants must consist of the:</w:t>
            </w:r>
          </w:p>
          <w:p w14:paraId="2531F259" w14:textId="77777777" w:rsidR="007B071B" w:rsidRPr="00214BB0" w:rsidRDefault="007B071B" w:rsidP="0055274A">
            <w:pPr>
              <w:pStyle w:val="ListParagraph"/>
              <w:numPr>
                <w:ilvl w:val="0"/>
                <w:numId w:val="6"/>
              </w:numPr>
              <w:spacing w:line="276" w:lineRule="auto"/>
              <w:rPr>
                <w:rFonts w:ascii="Aptos" w:eastAsia="Calibri" w:hAnsi="Aptos" w:cs="Calibri"/>
                <w:sz w:val="22"/>
                <w:szCs w:val="22"/>
              </w:rPr>
            </w:pPr>
            <w:r w:rsidRPr="00214BB0">
              <w:rPr>
                <w:rFonts w:ascii="Aptos" w:eastAsia="Calibri" w:hAnsi="Aptos" w:cs="Calibri"/>
                <w:sz w:val="22"/>
                <w:szCs w:val="22"/>
              </w:rPr>
              <w:t>MMPI-2-RF (Minnesota Multiphasic Personality Inventory-2-Restructured Form)</w:t>
            </w:r>
          </w:p>
          <w:p w14:paraId="5800478B" w14:textId="77777777" w:rsidR="00DE5383" w:rsidRDefault="007B071B" w:rsidP="0055274A">
            <w:pPr>
              <w:pStyle w:val="ListParagraph"/>
              <w:numPr>
                <w:ilvl w:val="0"/>
                <w:numId w:val="6"/>
              </w:numPr>
              <w:spacing w:line="276" w:lineRule="auto"/>
              <w:rPr>
                <w:rFonts w:ascii="Aptos" w:eastAsia="Calibri" w:hAnsi="Aptos" w:cs="Calibri"/>
                <w:sz w:val="22"/>
                <w:szCs w:val="22"/>
              </w:rPr>
            </w:pPr>
            <w:r w:rsidRPr="00214BB0">
              <w:rPr>
                <w:rFonts w:ascii="Aptos" w:eastAsia="Calibri" w:hAnsi="Aptos" w:cs="Calibri"/>
                <w:sz w:val="22"/>
                <w:szCs w:val="22"/>
              </w:rPr>
              <w:t>MAST (Michigan Alcoholism Screening Test)</w:t>
            </w:r>
          </w:p>
          <w:p w14:paraId="00000019" w14:textId="5281C8C6" w:rsidR="00824604" w:rsidRPr="00DE5383" w:rsidRDefault="007B071B" w:rsidP="0055274A">
            <w:pPr>
              <w:pStyle w:val="ListParagraph"/>
              <w:numPr>
                <w:ilvl w:val="0"/>
                <w:numId w:val="6"/>
              </w:numPr>
              <w:spacing w:line="276" w:lineRule="auto"/>
              <w:rPr>
                <w:rFonts w:ascii="Aptos" w:eastAsia="Calibri" w:hAnsi="Aptos" w:cs="Calibri"/>
                <w:sz w:val="22"/>
                <w:szCs w:val="22"/>
              </w:rPr>
            </w:pPr>
            <w:r w:rsidRPr="00DE5383">
              <w:rPr>
                <w:rFonts w:ascii="Aptos" w:eastAsia="Calibri" w:hAnsi="Aptos" w:cs="Calibri"/>
                <w:sz w:val="22"/>
                <w:szCs w:val="22"/>
              </w:rPr>
              <w:t>PCL (Post Traumatic Stress Disorder Checklist)</w:t>
            </w:r>
          </w:p>
        </w:tc>
        <w:tc>
          <w:tcPr>
            <w:tcW w:w="1910" w:type="dxa"/>
            <w:shd w:val="clear" w:color="auto" w:fill="FFFFCC"/>
          </w:tcPr>
          <w:p w14:paraId="0000001A" w14:textId="77777777" w:rsidR="00824604" w:rsidRPr="0011494D" w:rsidRDefault="00824604">
            <w:pPr>
              <w:rPr>
                <w:rFonts w:ascii="Aptos" w:eastAsia="Calibri" w:hAnsi="Aptos" w:cs="Calibri"/>
                <w:sz w:val="22"/>
                <w:szCs w:val="22"/>
              </w:rPr>
            </w:pPr>
          </w:p>
        </w:tc>
      </w:tr>
      <w:tr w:rsidR="00583973" w:rsidRPr="0011494D" w14:paraId="16CC857B" w14:textId="77777777" w:rsidTr="0011494D">
        <w:tc>
          <w:tcPr>
            <w:tcW w:w="1525" w:type="dxa"/>
            <w:vAlign w:val="center"/>
          </w:tcPr>
          <w:p w14:paraId="13A34AC8" w14:textId="3686CE4C" w:rsidR="00583973" w:rsidRDefault="00583973" w:rsidP="007B071B">
            <w:pPr>
              <w:pBdr>
                <w:top w:val="nil"/>
                <w:left w:val="nil"/>
                <w:bottom w:val="nil"/>
                <w:right w:val="nil"/>
                <w:between w:val="nil"/>
              </w:pBdr>
              <w:jc w:val="center"/>
              <w:rPr>
                <w:rFonts w:ascii="Aptos" w:eastAsia="Calibri" w:hAnsi="Aptos" w:cs="Calibri"/>
                <w:sz w:val="22"/>
                <w:szCs w:val="22"/>
              </w:rPr>
            </w:pPr>
            <w:r>
              <w:rPr>
                <w:rFonts w:ascii="Aptos" w:eastAsia="Calibri" w:hAnsi="Aptos" w:cs="Calibri"/>
                <w:sz w:val="22"/>
                <w:szCs w:val="22"/>
              </w:rPr>
              <w:t>7.</w:t>
            </w:r>
          </w:p>
        </w:tc>
        <w:tc>
          <w:tcPr>
            <w:tcW w:w="7290" w:type="dxa"/>
          </w:tcPr>
          <w:p w14:paraId="7A78A01D" w14:textId="4499DE31" w:rsidR="00583973" w:rsidRPr="00214BB0" w:rsidRDefault="00E279CA" w:rsidP="0055274A">
            <w:pPr>
              <w:spacing w:line="276" w:lineRule="auto"/>
              <w:rPr>
                <w:rFonts w:ascii="Aptos" w:eastAsia="Calibri" w:hAnsi="Aptos" w:cs="Calibri"/>
                <w:sz w:val="22"/>
                <w:szCs w:val="22"/>
              </w:rPr>
            </w:pPr>
            <w:r>
              <w:rPr>
                <w:rFonts w:ascii="Aptos" w:eastAsia="Calibri" w:hAnsi="Aptos" w:cs="Calibri"/>
                <w:sz w:val="22"/>
                <w:szCs w:val="22"/>
              </w:rPr>
              <w:t xml:space="preserve">Regarding </w:t>
            </w:r>
            <w:r w:rsidR="005D5DEF">
              <w:rPr>
                <w:rFonts w:ascii="Aptos" w:eastAsia="Calibri" w:hAnsi="Aptos" w:cs="Calibri"/>
                <w:sz w:val="22"/>
                <w:szCs w:val="22"/>
              </w:rPr>
              <w:t>injury rehabilitation</w:t>
            </w:r>
            <w:r w:rsidR="00A02DF6">
              <w:rPr>
                <w:rFonts w:ascii="Aptos" w:eastAsia="Calibri" w:hAnsi="Aptos" w:cs="Calibri"/>
                <w:sz w:val="22"/>
                <w:szCs w:val="22"/>
              </w:rPr>
              <w:t>, respondents must have at least five (</w:t>
            </w:r>
            <w:r w:rsidR="00B410A2">
              <w:rPr>
                <w:rFonts w:ascii="Aptos" w:eastAsia="Calibri" w:hAnsi="Aptos" w:cs="Calibri"/>
                <w:sz w:val="22"/>
                <w:szCs w:val="22"/>
              </w:rPr>
              <w:t>5</w:t>
            </w:r>
            <w:r w:rsidR="00A02DF6">
              <w:rPr>
                <w:rFonts w:ascii="Aptos" w:eastAsia="Calibri" w:hAnsi="Aptos" w:cs="Calibri"/>
                <w:sz w:val="22"/>
                <w:szCs w:val="22"/>
              </w:rPr>
              <w:t>)</w:t>
            </w:r>
            <w:r w:rsidR="00B410A2">
              <w:rPr>
                <w:rFonts w:ascii="Aptos" w:eastAsia="Calibri" w:hAnsi="Aptos" w:cs="Calibri"/>
                <w:sz w:val="22"/>
                <w:szCs w:val="22"/>
              </w:rPr>
              <w:t xml:space="preserve"> years of </w:t>
            </w:r>
            <w:r w:rsidR="009E1D0E">
              <w:rPr>
                <w:rFonts w:ascii="Aptos" w:eastAsia="Calibri" w:hAnsi="Aptos" w:cs="Calibri"/>
                <w:sz w:val="22"/>
                <w:szCs w:val="22"/>
              </w:rPr>
              <w:t xml:space="preserve">experience </w:t>
            </w:r>
            <w:r w:rsidR="0072187C">
              <w:rPr>
                <w:rFonts w:ascii="Aptos" w:eastAsia="Calibri" w:hAnsi="Aptos" w:cs="Calibri"/>
                <w:sz w:val="22"/>
                <w:szCs w:val="22"/>
              </w:rPr>
              <w:t>exclusively</w:t>
            </w:r>
            <w:r w:rsidR="009E1D0E">
              <w:rPr>
                <w:rFonts w:ascii="Aptos" w:eastAsia="Calibri" w:hAnsi="Aptos" w:cs="Calibri"/>
                <w:sz w:val="22"/>
                <w:szCs w:val="22"/>
              </w:rPr>
              <w:t xml:space="preserve"> treating public safety personnel.</w:t>
            </w:r>
          </w:p>
        </w:tc>
        <w:tc>
          <w:tcPr>
            <w:tcW w:w="1910" w:type="dxa"/>
            <w:shd w:val="clear" w:color="auto" w:fill="FFFFCC"/>
          </w:tcPr>
          <w:p w14:paraId="00A360FD" w14:textId="77777777" w:rsidR="00583973" w:rsidRPr="0011494D" w:rsidRDefault="00583973">
            <w:pPr>
              <w:rPr>
                <w:rFonts w:ascii="Aptos" w:eastAsia="Calibri" w:hAnsi="Aptos" w:cs="Calibri"/>
                <w:sz w:val="22"/>
                <w:szCs w:val="22"/>
              </w:rPr>
            </w:pPr>
          </w:p>
        </w:tc>
      </w:tr>
      <w:tr w:rsidR="00DB530E" w:rsidRPr="0011494D" w14:paraId="26D175AA" w14:textId="77777777" w:rsidTr="0011494D">
        <w:tc>
          <w:tcPr>
            <w:tcW w:w="1525" w:type="dxa"/>
            <w:vAlign w:val="center"/>
          </w:tcPr>
          <w:p w14:paraId="113EBE05" w14:textId="0CA8B7C3" w:rsidR="00DB530E" w:rsidRDefault="00DB530E" w:rsidP="007B071B">
            <w:pPr>
              <w:pBdr>
                <w:top w:val="nil"/>
                <w:left w:val="nil"/>
                <w:bottom w:val="nil"/>
                <w:right w:val="nil"/>
                <w:between w:val="nil"/>
              </w:pBdr>
              <w:jc w:val="center"/>
              <w:rPr>
                <w:rFonts w:ascii="Aptos" w:eastAsia="Calibri" w:hAnsi="Aptos" w:cs="Calibri"/>
                <w:sz w:val="22"/>
                <w:szCs w:val="22"/>
              </w:rPr>
            </w:pPr>
            <w:r>
              <w:rPr>
                <w:rFonts w:ascii="Aptos" w:eastAsia="Calibri" w:hAnsi="Aptos" w:cs="Calibri"/>
                <w:sz w:val="22"/>
                <w:szCs w:val="22"/>
              </w:rPr>
              <w:t>8.</w:t>
            </w:r>
          </w:p>
        </w:tc>
        <w:tc>
          <w:tcPr>
            <w:tcW w:w="7290" w:type="dxa"/>
          </w:tcPr>
          <w:p w14:paraId="2F0C8C8D" w14:textId="38CA7516" w:rsidR="00DB530E" w:rsidRDefault="00CD4839" w:rsidP="0055274A">
            <w:pPr>
              <w:spacing w:line="276" w:lineRule="auto"/>
              <w:rPr>
                <w:rFonts w:ascii="Aptos" w:eastAsia="Calibri" w:hAnsi="Aptos" w:cs="Calibri"/>
                <w:sz w:val="22"/>
                <w:szCs w:val="22"/>
              </w:rPr>
            </w:pPr>
            <w:r w:rsidRPr="00CD4839">
              <w:rPr>
                <w:rFonts w:ascii="Aptos" w:eastAsia="Calibri" w:hAnsi="Aptos" w:cs="Calibri"/>
                <w:sz w:val="22"/>
                <w:szCs w:val="22"/>
              </w:rPr>
              <w:t>Respondents must provide a proprietary mobile application designed to support employee mental health, including features such as stress management tools, mood tracking, access to counseling resources, and personalized wellness recommendations.</w:t>
            </w:r>
            <w:r w:rsidR="00850912">
              <w:rPr>
                <w:rFonts w:ascii="Aptos" w:eastAsia="Calibri" w:hAnsi="Aptos" w:cs="Calibri"/>
                <w:sz w:val="22"/>
                <w:szCs w:val="22"/>
              </w:rPr>
              <w:t xml:space="preserve">  </w:t>
            </w:r>
            <w:r w:rsidRPr="00CD4839">
              <w:rPr>
                <w:rFonts w:ascii="Aptos" w:eastAsia="Calibri" w:hAnsi="Aptos" w:cs="Calibri"/>
                <w:sz w:val="22"/>
                <w:szCs w:val="22"/>
              </w:rPr>
              <w:t>The application shall be owned and maintained by the respondent, with full intellectual property rights held by the respondent or its affiliates</w:t>
            </w:r>
            <w:r w:rsidR="000F1D32">
              <w:rPr>
                <w:rFonts w:ascii="Aptos" w:eastAsia="Calibri" w:hAnsi="Aptos" w:cs="Calibri"/>
                <w:sz w:val="22"/>
                <w:szCs w:val="22"/>
              </w:rPr>
              <w:t>.</w:t>
            </w:r>
          </w:p>
        </w:tc>
        <w:tc>
          <w:tcPr>
            <w:tcW w:w="1910" w:type="dxa"/>
            <w:shd w:val="clear" w:color="auto" w:fill="FFFFCC"/>
          </w:tcPr>
          <w:p w14:paraId="0F78C2AF" w14:textId="77777777" w:rsidR="00DB530E" w:rsidRPr="0011494D" w:rsidRDefault="00DB530E">
            <w:pPr>
              <w:rPr>
                <w:rFonts w:ascii="Aptos" w:eastAsia="Calibri" w:hAnsi="Aptos" w:cs="Calibri"/>
                <w:sz w:val="22"/>
                <w:szCs w:val="22"/>
              </w:rPr>
            </w:pPr>
          </w:p>
        </w:tc>
      </w:tr>
      <w:tr w:rsidR="007B04D5" w:rsidRPr="0011494D" w14:paraId="17A67E3B" w14:textId="77777777" w:rsidTr="0011494D">
        <w:tc>
          <w:tcPr>
            <w:tcW w:w="1525" w:type="dxa"/>
            <w:vAlign w:val="center"/>
          </w:tcPr>
          <w:p w14:paraId="31998ED4" w14:textId="22607647" w:rsidR="007B04D5" w:rsidRDefault="007B04D5" w:rsidP="007B071B">
            <w:pPr>
              <w:pBdr>
                <w:top w:val="nil"/>
                <w:left w:val="nil"/>
                <w:bottom w:val="nil"/>
                <w:right w:val="nil"/>
                <w:between w:val="nil"/>
              </w:pBdr>
              <w:jc w:val="center"/>
              <w:rPr>
                <w:rFonts w:ascii="Aptos" w:eastAsia="Calibri" w:hAnsi="Aptos" w:cs="Calibri"/>
                <w:sz w:val="22"/>
                <w:szCs w:val="22"/>
              </w:rPr>
            </w:pPr>
            <w:r>
              <w:rPr>
                <w:rFonts w:ascii="Aptos" w:eastAsia="Calibri" w:hAnsi="Aptos" w:cs="Calibri"/>
                <w:sz w:val="22"/>
                <w:szCs w:val="22"/>
              </w:rPr>
              <w:t>9.</w:t>
            </w:r>
          </w:p>
        </w:tc>
        <w:tc>
          <w:tcPr>
            <w:tcW w:w="7290" w:type="dxa"/>
          </w:tcPr>
          <w:p w14:paraId="3CCAB1DE" w14:textId="2C3CB8C2" w:rsidR="0055274A" w:rsidRDefault="007B04D5" w:rsidP="000F1D32">
            <w:pPr>
              <w:rPr>
                <w:rFonts w:ascii="Aptos" w:eastAsia="Calibri" w:hAnsi="Aptos" w:cs="Calibri"/>
                <w:sz w:val="22"/>
                <w:szCs w:val="22"/>
              </w:rPr>
            </w:pPr>
            <w:r>
              <w:rPr>
                <w:rFonts w:ascii="Aptos" w:eastAsia="Calibri" w:hAnsi="Aptos" w:cs="Calibri"/>
                <w:sz w:val="22"/>
                <w:szCs w:val="22"/>
              </w:rPr>
              <w:t>For continuing mental health</w:t>
            </w:r>
            <w:r w:rsidR="002C0C8E">
              <w:rPr>
                <w:rFonts w:ascii="Aptos" w:eastAsia="Calibri" w:hAnsi="Aptos" w:cs="Calibri"/>
                <w:sz w:val="22"/>
                <w:szCs w:val="22"/>
              </w:rPr>
              <w:t xml:space="preserve"> training and education, respondents shall be able to provide, at a minimum:</w:t>
            </w:r>
          </w:p>
          <w:p w14:paraId="0E198474" w14:textId="77777777" w:rsidR="0055274A" w:rsidRPr="0055274A" w:rsidRDefault="0055274A" w:rsidP="0055274A">
            <w:pPr>
              <w:pStyle w:val="ListParagraph"/>
              <w:numPr>
                <w:ilvl w:val="0"/>
                <w:numId w:val="9"/>
              </w:numPr>
              <w:rPr>
                <w:rFonts w:ascii="Aptos" w:eastAsia="Calibri" w:hAnsi="Aptos" w:cs="Calibri"/>
                <w:sz w:val="22"/>
                <w:szCs w:val="22"/>
              </w:rPr>
            </w:pPr>
            <w:r w:rsidRPr="0055274A">
              <w:rPr>
                <w:rFonts w:ascii="Aptos" w:eastAsia="Calibri" w:hAnsi="Aptos" w:cs="Calibri"/>
                <w:sz w:val="22"/>
                <w:szCs w:val="22"/>
              </w:rPr>
              <w:t>Suicide Prevention and Crisis Intervention</w:t>
            </w:r>
          </w:p>
          <w:p w14:paraId="03FB14EF" w14:textId="77777777" w:rsidR="0055274A" w:rsidRPr="0055274A" w:rsidRDefault="0055274A" w:rsidP="0055274A">
            <w:pPr>
              <w:pStyle w:val="ListParagraph"/>
              <w:numPr>
                <w:ilvl w:val="0"/>
                <w:numId w:val="9"/>
              </w:numPr>
              <w:rPr>
                <w:rFonts w:ascii="Aptos" w:eastAsia="Calibri" w:hAnsi="Aptos" w:cs="Calibri"/>
                <w:sz w:val="22"/>
                <w:szCs w:val="22"/>
              </w:rPr>
            </w:pPr>
            <w:r w:rsidRPr="0055274A">
              <w:rPr>
                <w:rFonts w:ascii="Aptos" w:eastAsia="Calibri" w:hAnsi="Aptos" w:cs="Calibri"/>
                <w:sz w:val="22"/>
                <w:szCs w:val="22"/>
              </w:rPr>
              <w:t>Departmental Behavioral Health Training</w:t>
            </w:r>
          </w:p>
          <w:p w14:paraId="525ED08B" w14:textId="77777777" w:rsidR="0055274A" w:rsidRPr="0055274A" w:rsidRDefault="0055274A" w:rsidP="0055274A">
            <w:pPr>
              <w:pStyle w:val="ListParagraph"/>
              <w:numPr>
                <w:ilvl w:val="0"/>
                <w:numId w:val="9"/>
              </w:numPr>
              <w:rPr>
                <w:rFonts w:ascii="Aptos" w:eastAsia="Calibri" w:hAnsi="Aptos" w:cs="Calibri"/>
                <w:sz w:val="22"/>
                <w:szCs w:val="22"/>
              </w:rPr>
            </w:pPr>
            <w:r w:rsidRPr="0055274A">
              <w:rPr>
                <w:rFonts w:ascii="Aptos" w:eastAsia="Calibri" w:hAnsi="Aptos" w:cs="Calibri"/>
                <w:sz w:val="22"/>
                <w:szCs w:val="22"/>
              </w:rPr>
              <w:t>Coping with Organizational Change</w:t>
            </w:r>
          </w:p>
          <w:p w14:paraId="1A73356C" w14:textId="77777777" w:rsidR="0055274A" w:rsidRPr="0055274A" w:rsidRDefault="0055274A" w:rsidP="0055274A">
            <w:pPr>
              <w:pStyle w:val="ListParagraph"/>
              <w:numPr>
                <w:ilvl w:val="0"/>
                <w:numId w:val="9"/>
              </w:numPr>
              <w:rPr>
                <w:rFonts w:ascii="Aptos" w:eastAsia="Calibri" w:hAnsi="Aptos" w:cs="Calibri"/>
                <w:sz w:val="22"/>
                <w:szCs w:val="22"/>
              </w:rPr>
            </w:pPr>
            <w:r w:rsidRPr="0055274A">
              <w:rPr>
                <w:rFonts w:ascii="Aptos" w:eastAsia="Calibri" w:hAnsi="Aptos" w:cs="Calibri"/>
                <w:sz w:val="22"/>
                <w:szCs w:val="22"/>
              </w:rPr>
              <w:t>Emotional Intelligence &amp; Resilience Skills</w:t>
            </w:r>
          </w:p>
          <w:p w14:paraId="50D52A4E" w14:textId="434555FF" w:rsidR="0055274A" w:rsidRPr="0055274A" w:rsidRDefault="0055274A" w:rsidP="0055274A">
            <w:pPr>
              <w:pStyle w:val="ListParagraph"/>
              <w:numPr>
                <w:ilvl w:val="0"/>
                <w:numId w:val="9"/>
              </w:numPr>
              <w:rPr>
                <w:rFonts w:ascii="Aptos" w:eastAsia="Calibri" w:hAnsi="Aptos" w:cs="Calibri"/>
                <w:sz w:val="22"/>
                <w:szCs w:val="22"/>
              </w:rPr>
            </w:pPr>
            <w:r w:rsidRPr="0055274A">
              <w:rPr>
                <w:rFonts w:ascii="Aptos" w:eastAsia="Calibri" w:hAnsi="Aptos" w:cs="Calibri"/>
                <w:sz w:val="22"/>
                <w:szCs w:val="22"/>
              </w:rPr>
              <w:t>Stress Management and Burnout Prevention</w:t>
            </w:r>
          </w:p>
          <w:p w14:paraId="6B0934A1" w14:textId="1CC4C369" w:rsidR="0055274A" w:rsidRPr="0055274A" w:rsidRDefault="0055274A" w:rsidP="0055274A">
            <w:pPr>
              <w:pStyle w:val="ListParagraph"/>
              <w:numPr>
                <w:ilvl w:val="0"/>
                <w:numId w:val="9"/>
              </w:numPr>
              <w:rPr>
                <w:rFonts w:ascii="Aptos" w:eastAsia="Calibri" w:hAnsi="Aptos" w:cs="Calibri"/>
                <w:sz w:val="22"/>
                <w:szCs w:val="22"/>
              </w:rPr>
            </w:pPr>
            <w:r w:rsidRPr="0055274A">
              <w:rPr>
                <w:rFonts w:ascii="Aptos" w:eastAsia="Calibri" w:hAnsi="Aptos" w:cs="Calibri"/>
                <w:sz w:val="22"/>
                <w:szCs w:val="22"/>
              </w:rPr>
              <w:t>Peer Support and Leadership Development</w:t>
            </w:r>
          </w:p>
        </w:tc>
        <w:tc>
          <w:tcPr>
            <w:tcW w:w="1910" w:type="dxa"/>
            <w:shd w:val="clear" w:color="auto" w:fill="FFFFCC"/>
          </w:tcPr>
          <w:p w14:paraId="5B34E79E" w14:textId="77777777" w:rsidR="007B04D5" w:rsidRPr="0011494D" w:rsidRDefault="007B04D5">
            <w:pPr>
              <w:rPr>
                <w:rFonts w:ascii="Aptos" w:eastAsia="Calibri" w:hAnsi="Aptos" w:cs="Calibri"/>
                <w:sz w:val="22"/>
                <w:szCs w:val="22"/>
              </w:rPr>
            </w:pPr>
          </w:p>
        </w:tc>
      </w:tr>
      <w:tr w:rsidR="00C87716" w:rsidRPr="0011494D" w14:paraId="2387B9E0" w14:textId="77777777" w:rsidTr="0011494D">
        <w:tc>
          <w:tcPr>
            <w:tcW w:w="1525" w:type="dxa"/>
            <w:vAlign w:val="center"/>
          </w:tcPr>
          <w:p w14:paraId="49EF1485" w14:textId="564555FA" w:rsidR="00C87716" w:rsidRDefault="00C87716" w:rsidP="007B071B">
            <w:pPr>
              <w:pBdr>
                <w:top w:val="nil"/>
                <w:left w:val="nil"/>
                <w:bottom w:val="nil"/>
                <w:right w:val="nil"/>
                <w:between w:val="nil"/>
              </w:pBdr>
              <w:jc w:val="center"/>
              <w:rPr>
                <w:rFonts w:ascii="Aptos" w:eastAsia="Calibri" w:hAnsi="Aptos" w:cs="Calibri"/>
                <w:sz w:val="22"/>
                <w:szCs w:val="22"/>
              </w:rPr>
            </w:pPr>
            <w:r>
              <w:rPr>
                <w:rFonts w:ascii="Aptos" w:eastAsia="Calibri" w:hAnsi="Aptos" w:cs="Calibri"/>
                <w:sz w:val="22"/>
                <w:szCs w:val="22"/>
              </w:rPr>
              <w:t>10.</w:t>
            </w:r>
          </w:p>
        </w:tc>
        <w:tc>
          <w:tcPr>
            <w:tcW w:w="7290" w:type="dxa"/>
          </w:tcPr>
          <w:p w14:paraId="41907C35" w14:textId="070B19A4" w:rsidR="00C87716" w:rsidRDefault="00A665A3" w:rsidP="00161F8F">
            <w:pPr>
              <w:spacing w:line="276" w:lineRule="auto"/>
              <w:rPr>
                <w:rFonts w:ascii="Aptos" w:eastAsia="Calibri" w:hAnsi="Aptos" w:cs="Calibri"/>
                <w:sz w:val="22"/>
                <w:szCs w:val="22"/>
              </w:rPr>
            </w:pPr>
            <w:r>
              <w:rPr>
                <w:rFonts w:ascii="Aptos" w:eastAsia="Calibri" w:hAnsi="Aptos" w:cs="Calibri"/>
                <w:sz w:val="22"/>
                <w:szCs w:val="22"/>
              </w:rPr>
              <w:t xml:space="preserve">In terms of fitness assessments, respondents should be able to </w:t>
            </w:r>
            <w:r w:rsidR="000816A8">
              <w:rPr>
                <w:rFonts w:ascii="Aptos" w:eastAsia="Calibri" w:hAnsi="Aptos" w:cs="Calibri"/>
                <w:sz w:val="22"/>
                <w:szCs w:val="22"/>
              </w:rPr>
              <w:t xml:space="preserve">conclude an </w:t>
            </w:r>
            <w:r w:rsidR="001D67B9">
              <w:rPr>
                <w:rFonts w:ascii="Aptos" w:eastAsia="Calibri" w:hAnsi="Aptos" w:cs="Calibri"/>
                <w:sz w:val="22"/>
                <w:szCs w:val="22"/>
              </w:rPr>
              <w:t>individual</w:t>
            </w:r>
            <w:r w:rsidR="000816A8">
              <w:rPr>
                <w:rFonts w:ascii="Aptos" w:eastAsia="Calibri" w:hAnsi="Aptos" w:cs="Calibri"/>
                <w:sz w:val="22"/>
                <w:szCs w:val="22"/>
              </w:rPr>
              <w:t xml:space="preserve"> test in one (1) hour.  </w:t>
            </w:r>
            <w:r w:rsidR="001D67B9">
              <w:rPr>
                <w:rFonts w:ascii="Aptos" w:eastAsia="Calibri" w:hAnsi="Aptos" w:cs="Calibri"/>
                <w:sz w:val="22"/>
                <w:szCs w:val="22"/>
              </w:rPr>
              <w:t>Ideally, individuals would rotate through stations to decrease the overall amount of testing time.</w:t>
            </w:r>
            <w:r w:rsidR="00A21C5E">
              <w:rPr>
                <w:rFonts w:ascii="Aptos" w:eastAsia="Calibri" w:hAnsi="Aptos" w:cs="Calibri"/>
                <w:sz w:val="22"/>
                <w:szCs w:val="22"/>
              </w:rPr>
              <w:t xml:space="preserve">  Tests will include:</w:t>
            </w:r>
          </w:p>
          <w:p w14:paraId="2453D5CC" w14:textId="77777777" w:rsidR="00BE74BA" w:rsidRDefault="00A21C5E" w:rsidP="00161F8F">
            <w:pPr>
              <w:pStyle w:val="ListParagraph"/>
              <w:numPr>
                <w:ilvl w:val="0"/>
                <w:numId w:val="12"/>
              </w:numPr>
              <w:spacing w:line="276" w:lineRule="auto"/>
              <w:rPr>
                <w:rFonts w:ascii="Aptos" w:eastAsia="Calibri" w:hAnsi="Aptos" w:cs="Calibri"/>
                <w:sz w:val="22"/>
                <w:szCs w:val="22"/>
              </w:rPr>
            </w:pPr>
            <w:r w:rsidRPr="00463EF1">
              <w:rPr>
                <w:rFonts w:ascii="Aptos" w:eastAsia="Calibri" w:hAnsi="Aptos" w:cs="Calibri"/>
                <w:sz w:val="22"/>
                <w:szCs w:val="22"/>
              </w:rPr>
              <w:t>Body Composition and Anthropometrics</w:t>
            </w:r>
            <w:r w:rsidR="00463EF1">
              <w:rPr>
                <w:rFonts w:ascii="Aptos" w:eastAsia="Calibri" w:hAnsi="Aptos" w:cs="Calibri"/>
                <w:sz w:val="22"/>
                <w:szCs w:val="22"/>
              </w:rPr>
              <w:t xml:space="preserve">: </w:t>
            </w:r>
            <w:r w:rsidRPr="00463EF1">
              <w:rPr>
                <w:rFonts w:ascii="Aptos" w:eastAsia="Calibri" w:hAnsi="Aptos" w:cs="Calibri"/>
                <w:sz w:val="22"/>
                <w:szCs w:val="22"/>
              </w:rPr>
              <w:t>InBody H20N or equivalent bioelectrical impedance tool</w:t>
            </w:r>
            <w:r w:rsidR="00463EF1">
              <w:rPr>
                <w:rFonts w:ascii="Aptos" w:eastAsia="Calibri" w:hAnsi="Aptos" w:cs="Calibri"/>
                <w:sz w:val="22"/>
                <w:szCs w:val="22"/>
              </w:rPr>
              <w:t xml:space="preserve"> to mea</w:t>
            </w:r>
            <w:r w:rsidR="00BE74BA">
              <w:rPr>
                <w:rFonts w:ascii="Aptos" w:eastAsia="Calibri" w:hAnsi="Aptos" w:cs="Calibri"/>
                <w:sz w:val="22"/>
                <w:szCs w:val="22"/>
              </w:rPr>
              <w:t>sure l</w:t>
            </w:r>
            <w:r w:rsidRPr="00463EF1">
              <w:rPr>
                <w:rFonts w:ascii="Aptos" w:eastAsia="Calibri" w:hAnsi="Aptos" w:cs="Calibri"/>
                <w:sz w:val="22"/>
                <w:szCs w:val="22"/>
              </w:rPr>
              <w:t>ean mass, fat mass, hydration, and body composition metrics.</w:t>
            </w:r>
          </w:p>
          <w:p w14:paraId="47D9ED0A" w14:textId="77777777" w:rsidR="009E3397" w:rsidRDefault="00A21C5E" w:rsidP="00161F8F">
            <w:pPr>
              <w:pStyle w:val="ListParagraph"/>
              <w:numPr>
                <w:ilvl w:val="0"/>
                <w:numId w:val="12"/>
              </w:numPr>
              <w:spacing w:line="276" w:lineRule="auto"/>
              <w:rPr>
                <w:rFonts w:ascii="Aptos" w:eastAsia="Calibri" w:hAnsi="Aptos" w:cs="Calibri"/>
                <w:sz w:val="22"/>
                <w:szCs w:val="22"/>
              </w:rPr>
            </w:pPr>
            <w:r w:rsidRPr="00BE74BA">
              <w:rPr>
                <w:rFonts w:ascii="Aptos" w:eastAsia="Calibri" w:hAnsi="Aptos" w:cs="Calibri"/>
                <w:sz w:val="22"/>
                <w:szCs w:val="22"/>
              </w:rPr>
              <w:t>Movement Assessment</w:t>
            </w:r>
            <w:r w:rsidR="00BE74BA">
              <w:rPr>
                <w:rFonts w:ascii="Aptos" w:eastAsia="Calibri" w:hAnsi="Aptos" w:cs="Calibri"/>
                <w:sz w:val="22"/>
                <w:szCs w:val="22"/>
              </w:rPr>
              <w:t xml:space="preserve"> (to test p</w:t>
            </w:r>
            <w:r w:rsidRPr="00BE74BA">
              <w:rPr>
                <w:rFonts w:ascii="Aptos" w:eastAsia="Calibri" w:hAnsi="Aptos" w:cs="Calibri"/>
                <w:sz w:val="22"/>
                <w:szCs w:val="22"/>
              </w:rPr>
              <w:t>ower</w:t>
            </w:r>
            <w:r w:rsidR="00BE74BA">
              <w:rPr>
                <w:rFonts w:ascii="Aptos" w:eastAsia="Calibri" w:hAnsi="Aptos" w:cs="Calibri"/>
                <w:sz w:val="22"/>
                <w:szCs w:val="22"/>
              </w:rPr>
              <w:t xml:space="preserve"> and s</w:t>
            </w:r>
            <w:r w:rsidRPr="00BE74BA">
              <w:rPr>
                <w:rFonts w:ascii="Aptos" w:eastAsia="Calibri" w:hAnsi="Aptos" w:cs="Calibri"/>
                <w:sz w:val="22"/>
                <w:szCs w:val="22"/>
              </w:rPr>
              <w:t>peed</w:t>
            </w:r>
            <w:r w:rsidR="00BE74BA">
              <w:rPr>
                <w:rFonts w:ascii="Aptos" w:eastAsia="Calibri" w:hAnsi="Aptos" w:cs="Calibri"/>
                <w:sz w:val="22"/>
                <w:szCs w:val="22"/>
              </w:rPr>
              <w:t>)</w:t>
            </w:r>
            <w:r w:rsidR="00CB1E5E">
              <w:rPr>
                <w:rFonts w:ascii="Aptos" w:eastAsia="Calibri" w:hAnsi="Aptos" w:cs="Calibri"/>
                <w:sz w:val="22"/>
                <w:szCs w:val="22"/>
              </w:rPr>
              <w:t xml:space="preserve">: use </w:t>
            </w:r>
            <w:r w:rsidRPr="00CB1E5E">
              <w:rPr>
                <w:rFonts w:ascii="Aptos" w:eastAsia="Calibri" w:hAnsi="Aptos" w:cs="Calibri"/>
                <w:sz w:val="22"/>
                <w:szCs w:val="22"/>
              </w:rPr>
              <w:t>single-camera AI system</w:t>
            </w:r>
            <w:r w:rsidR="00CB1E5E">
              <w:rPr>
                <w:rFonts w:ascii="Aptos" w:eastAsia="Calibri" w:hAnsi="Aptos" w:cs="Calibri"/>
                <w:sz w:val="22"/>
                <w:szCs w:val="22"/>
              </w:rPr>
              <w:t xml:space="preserve"> to e</w:t>
            </w:r>
            <w:r w:rsidRPr="00CB1E5E">
              <w:rPr>
                <w:rFonts w:ascii="Aptos" w:eastAsia="Calibri" w:hAnsi="Aptos" w:cs="Calibri"/>
                <w:sz w:val="22"/>
                <w:szCs w:val="22"/>
              </w:rPr>
              <w:t>valuate</w:t>
            </w:r>
            <w:r w:rsidR="00CB1E5E">
              <w:rPr>
                <w:rFonts w:ascii="Aptos" w:eastAsia="Calibri" w:hAnsi="Aptos" w:cs="Calibri"/>
                <w:sz w:val="22"/>
                <w:szCs w:val="22"/>
              </w:rPr>
              <w:t xml:space="preserve"> j</w:t>
            </w:r>
            <w:r w:rsidRPr="00CB1E5E">
              <w:rPr>
                <w:rFonts w:ascii="Aptos" w:eastAsia="Calibri" w:hAnsi="Aptos" w:cs="Calibri"/>
                <w:sz w:val="22"/>
                <w:szCs w:val="22"/>
              </w:rPr>
              <w:t xml:space="preserve">oint function, mobility, balance, and overall movement efficiency to identify </w:t>
            </w:r>
            <w:r w:rsidR="00CB1E5E">
              <w:rPr>
                <w:rFonts w:ascii="Aptos" w:eastAsia="Calibri" w:hAnsi="Aptos" w:cs="Calibri"/>
                <w:sz w:val="22"/>
                <w:szCs w:val="22"/>
              </w:rPr>
              <w:t>risk areas for injury</w:t>
            </w:r>
          </w:p>
          <w:p w14:paraId="1DDAD58F" w14:textId="77777777" w:rsidR="009E3397" w:rsidRDefault="00A21C5E" w:rsidP="00161F8F">
            <w:pPr>
              <w:pStyle w:val="ListParagraph"/>
              <w:numPr>
                <w:ilvl w:val="0"/>
                <w:numId w:val="12"/>
              </w:numPr>
              <w:spacing w:line="276" w:lineRule="auto"/>
              <w:rPr>
                <w:rFonts w:ascii="Aptos" w:eastAsia="Calibri" w:hAnsi="Aptos" w:cs="Calibri"/>
                <w:sz w:val="22"/>
                <w:szCs w:val="22"/>
              </w:rPr>
            </w:pPr>
            <w:r w:rsidRPr="009E3397">
              <w:rPr>
                <w:rFonts w:ascii="Aptos" w:eastAsia="Calibri" w:hAnsi="Aptos" w:cs="Calibri"/>
                <w:sz w:val="22"/>
                <w:szCs w:val="22"/>
              </w:rPr>
              <w:t>Strength Assessment</w:t>
            </w:r>
            <w:r w:rsidR="009E3397">
              <w:rPr>
                <w:rFonts w:ascii="Aptos" w:eastAsia="Calibri" w:hAnsi="Aptos" w:cs="Calibri"/>
                <w:sz w:val="22"/>
                <w:szCs w:val="22"/>
              </w:rPr>
              <w:t xml:space="preserve">: use </w:t>
            </w:r>
            <w:r w:rsidRPr="009E3397">
              <w:rPr>
                <w:rFonts w:ascii="Aptos" w:eastAsia="Calibri" w:hAnsi="Aptos" w:cs="Calibri"/>
                <w:sz w:val="22"/>
                <w:szCs w:val="22"/>
              </w:rPr>
              <w:t>Trap Bar Deadlift and Inverted Row</w:t>
            </w:r>
            <w:r w:rsidR="009E3397">
              <w:rPr>
                <w:rFonts w:ascii="Aptos" w:eastAsia="Calibri" w:hAnsi="Aptos" w:cs="Calibri"/>
                <w:sz w:val="22"/>
                <w:szCs w:val="22"/>
              </w:rPr>
              <w:t xml:space="preserve"> (or equivalent exercises) to m</w:t>
            </w:r>
            <w:r w:rsidRPr="009E3397">
              <w:rPr>
                <w:rFonts w:ascii="Aptos" w:eastAsia="Calibri" w:hAnsi="Aptos" w:cs="Calibri"/>
                <w:sz w:val="22"/>
                <w:szCs w:val="22"/>
              </w:rPr>
              <w:t>easure</w:t>
            </w:r>
            <w:r w:rsidR="009E3397">
              <w:rPr>
                <w:rFonts w:ascii="Aptos" w:eastAsia="Calibri" w:hAnsi="Aptos" w:cs="Calibri"/>
                <w:sz w:val="22"/>
                <w:szCs w:val="22"/>
              </w:rPr>
              <w:t xml:space="preserve"> m</w:t>
            </w:r>
            <w:r w:rsidRPr="009E3397">
              <w:rPr>
                <w:rFonts w:ascii="Aptos" w:eastAsia="Calibri" w:hAnsi="Aptos" w:cs="Calibri"/>
                <w:sz w:val="22"/>
                <w:szCs w:val="22"/>
              </w:rPr>
              <w:t>usculoskeletal strength, stability, and neuromuscular control.</w:t>
            </w:r>
          </w:p>
          <w:p w14:paraId="235B392C" w14:textId="77777777" w:rsidR="00161F8F" w:rsidRDefault="00A21C5E" w:rsidP="00161F8F">
            <w:pPr>
              <w:pStyle w:val="ListParagraph"/>
              <w:numPr>
                <w:ilvl w:val="0"/>
                <w:numId w:val="12"/>
              </w:numPr>
              <w:spacing w:line="276" w:lineRule="auto"/>
              <w:rPr>
                <w:rFonts w:ascii="Aptos" w:eastAsia="Calibri" w:hAnsi="Aptos" w:cs="Calibri"/>
                <w:sz w:val="22"/>
                <w:szCs w:val="22"/>
              </w:rPr>
            </w:pPr>
            <w:r w:rsidRPr="009E3397">
              <w:rPr>
                <w:rFonts w:ascii="Aptos" w:eastAsia="Calibri" w:hAnsi="Aptos" w:cs="Calibri"/>
                <w:sz w:val="22"/>
                <w:szCs w:val="22"/>
              </w:rPr>
              <w:t>Muscular Endurance</w:t>
            </w:r>
            <w:r w:rsidR="009E3397">
              <w:rPr>
                <w:rFonts w:ascii="Aptos" w:eastAsia="Calibri" w:hAnsi="Aptos" w:cs="Calibri"/>
                <w:sz w:val="22"/>
                <w:szCs w:val="22"/>
              </w:rPr>
              <w:t>: use e</w:t>
            </w:r>
            <w:r w:rsidRPr="009E3397">
              <w:rPr>
                <w:rFonts w:ascii="Aptos" w:eastAsia="Calibri" w:hAnsi="Aptos" w:cs="Calibri"/>
                <w:sz w:val="22"/>
                <w:szCs w:val="22"/>
              </w:rPr>
              <w:t>xercises</w:t>
            </w:r>
            <w:r w:rsidR="009E3397">
              <w:rPr>
                <w:rFonts w:ascii="Aptos" w:eastAsia="Calibri" w:hAnsi="Aptos" w:cs="Calibri"/>
                <w:sz w:val="22"/>
                <w:szCs w:val="22"/>
              </w:rPr>
              <w:t>, s</w:t>
            </w:r>
            <w:r w:rsidR="00161F8F">
              <w:rPr>
                <w:rFonts w:ascii="Aptos" w:eastAsia="Calibri" w:hAnsi="Aptos" w:cs="Calibri"/>
                <w:sz w:val="22"/>
                <w:szCs w:val="22"/>
              </w:rPr>
              <w:t xml:space="preserve">uch as, the </w:t>
            </w:r>
            <w:r w:rsidRPr="009E3397">
              <w:rPr>
                <w:rFonts w:ascii="Aptos" w:eastAsia="Calibri" w:hAnsi="Aptos" w:cs="Calibri"/>
                <w:sz w:val="22"/>
                <w:szCs w:val="22"/>
              </w:rPr>
              <w:t>Side Plank, Push-Up Test, and Carry Test</w:t>
            </w:r>
            <w:r w:rsidR="00161F8F">
              <w:rPr>
                <w:rFonts w:ascii="Aptos" w:eastAsia="Calibri" w:hAnsi="Aptos" w:cs="Calibri"/>
                <w:sz w:val="22"/>
                <w:szCs w:val="22"/>
              </w:rPr>
              <w:t xml:space="preserve"> to m</w:t>
            </w:r>
            <w:r w:rsidRPr="00161F8F">
              <w:rPr>
                <w:rFonts w:ascii="Aptos" w:eastAsia="Calibri" w:hAnsi="Aptos" w:cs="Calibri"/>
                <w:sz w:val="22"/>
                <w:szCs w:val="22"/>
              </w:rPr>
              <w:t>easure</w:t>
            </w:r>
            <w:r w:rsidR="00161F8F">
              <w:rPr>
                <w:rFonts w:ascii="Aptos" w:eastAsia="Calibri" w:hAnsi="Aptos" w:cs="Calibri"/>
                <w:sz w:val="22"/>
                <w:szCs w:val="22"/>
              </w:rPr>
              <w:t xml:space="preserve"> c</w:t>
            </w:r>
            <w:r w:rsidRPr="00161F8F">
              <w:rPr>
                <w:rFonts w:ascii="Aptos" w:eastAsia="Calibri" w:hAnsi="Aptos" w:cs="Calibri"/>
                <w:sz w:val="22"/>
                <w:szCs w:val="22"/>
              </w:rPr>
              <w:t>ore stability, upper body endurance, and functional load-bearing capacity.</w:t>
            </w:r>
          </w:p>
          <w:p w14:paraId="73F30DCD" w14:textId="41F27937" w:rsidR="00A21C5E" w:rsidRPr="00161F8F" w:rsidRDefault="00A21C5E" w:rsidP="00161F8F">
            <w:pPr>
              <w:pStyle w:val="ListParagraph"/>
              <w:numPr>
                <w:ilvl w:val="0"/>
                <w:numId w:val="12"/>
              </w:numPr>
              <w:spacing w:line="276" w:lineRule="auto"/>
              <w:rPr>
                <w:rFonts w:ascii="Aptos" w:eastAsia="Calibri" w:hAnsi="Aptos" w:cs="Calibri"/>
                <w:sz w:val="22"/>
                <w:szCs w:val="22"/>
              </w:rPr>
            </w:pPr>
            <w:r w:rsidRPr="00161F8F">
              <w:rPr>
                <w:rFonts w:ascii="Aptos" w:eastAsia="Calibri" w:hAnsi="Aptos" w:cs="Calibri"/>
                <w:sz w:val="22"/>
                <w:szCs w:val="22"/>
              </w:rPr>
              <w:lastRenderedPageBreak/>
              <w:t>Aerobic Capacity</w:t>
            </w:r>
            <w:r w:rsidR="00161F8F">
              <w:rPr>
                <w:rFonts w:ascii="Aptos" w:eastAsia="Calibri" w:hAnsi="Aptos" w:cs="Calibri"/>
                <w:sz w:val="22"/>
                <w:szCs w:val="22"/>
              </w:rPr>
              <w:t xml:space="preserve">: use </w:t>
            </w:r>
            <w:r w:rsidRPr="00161F8F">
              <w:rPr>
                <w:rFonts w:ascii="Aptos" w:eastAsia="Calibri" w:hAnsi="Aptos" w:cs="Calibri"/>
                <w:sz w:val="22"/>
                <w:szCs w:val="22"/>
              </w:rPr>
              <w:t>Maximum Aerobic Speed (MAS) test on Concept 2 Rower or standardized treadmill/running protocol</w:t>
            </w:r>
            <w:r w:rsidR="00161F8F">
              <w:rPr>
                <w:rFonts w:ascii="Aptos" w:eastAsia="Calibri" w:hAnsi="Aptos" w:cs="Calibri"/>
                <w:sz w:val="22"/>
                <w:szCs w:val="22"/>
              </w:rPr>
              <w:t xml:space="preserve"> to m</w:t>
            </w:r>
            <w:r w:rsidRPr="00161F8F">
              <w:rPr>
                <w:rFonts w:ascii="Aptos" w:eastAsia="Calibri" w:hAnsi="Aptos" w:cs="Calibri"/>
                <w:sz w:val="22"/>
                <w:szCs w:val="22"/>
              </w:rPr>
              <w:t>easure</w:t>
            </w:r>
            <w:r w:rsidR="00161F8F">
              <w:rPr>
                <w:rFonts w:ascii="Aptos" w:eastAsia="Calibri" w:hAnsi="Aptos" w:cs="Calibri"/>
                <w:sz w:val="22"/>
                <w:szCs w:val="22"/>
              </w:rPr>
              <w:t xml:space="preserve"> c</w:t>
            </w:r>
            <w:r w:rsidRPr="00161F8F">
              <w:rPr>
                <w:rFonts w:ascii="Aptos" w:eastAsia="Calibri" w:hAnsi="Aptos" w:cs="Calibri"/>
                <w:sz w:val="22"/>
                <w:szCs w:val="22"/>
              </w:rPr>
              <w:t>ardiovascular fitness and oxygen utilization capacity.</w:t>
            </w:r>
          </w:p>
        </w:tc>
        <w:tc>
          <w:tcPr>
            <w:tcW w:w="1910" w:type="dxa"/>
            <w:shd w:val="clear" w:color="auto" w:fill="FFFFCC"/>
          </w:tcPr>
          <w:p w14:paraId="4E65695B" w14:textId="77777777" w:rsidR="00C87716" w:rsidRPr="0011494D" w:rsidRDefault="00C87716">
            <w:pPr>
              <w:rPr>
                <w:rFonts w:ascii="Aptos" w:eastAsia="Calibri" w:hAnsi="Aptos" w:cs="Calibri"/>
                <w:sz w:val="22"/>
                <w:szCs w:val="22"/>
              </w:rPr>
            </w:pPr>
          </w:p>
        </w:tc>
      </w:tr>
      <w:tr w:rsidR="0038556E" w:rsidRPr="0011494D" w14:paraId="130540A0" w14:textId="77777777" w:rsidTr="0011494D">
        <w:tc>
          <w:tcPr>
            <w:tcW w:w="1525" w:type="dxa"/>
            <w:vAlign w:val="center"/>
          </w:tcPr>
          <w:p w14:paraId="24D92588" w14:textId="62216E13" w:rsidR="0038556E" w:rsidRDefault="0038556E" w:rsidP="007B071B">
            <w:pPr>
              <w:pBdr>
                <w:top w:val="nil"/>
                <w:left w:val="nil"/>
                <w:bottom w:val="nil"/>
                <w:right w:val="nil"/>
                <w:between w:val="nil"/>
              </w:pBdr>
              <w:jc w:val="center"/>
              <w:rPr>
                <w:rFonts w:ascii="Aptos" w:eastAsia="Calibri" w:hAnsi="Aptos" w:cs="Calibri"/>
                <w:sz w:val="22"/>
                <w:szCs w:val="22"/>
              </w:rPr>
            </w:pPr>
            <w:r>
              <w:rPr>
                <w:rFonts w:ascii="Aptos" w:eastAsia="Calibri" w:hAnsi="Aptos" w:cs="Calibri"/>
                <w:sz w:val="22"/>
                <w:szCs w:val="22"/>
              </w:rPr>
              <w:t>11.</w:t>
            </w:r>
          </w:p>
        </w:tc>
        <w:tc>
          <w:tcPr>
            <w:tcW w:w="7290" w:type="dxa"/>
          </w:tcPr>
          <w:p w14:paraId="398192B2" w14:textId="05E18650" w:rsidR="00AE4267" w:rsidRPr="00C055F9" w:rsidRDefault="00CC22BF" w:rsidP="00CC22BF">
            <w:pPr>
              <w:spacing w:line="276" w:lineRule="auto"/>
              <w:rPr>
                <w:rFonts w:ascii="Aptos" w:hAnsi="Aptos"/>
                <w:color w:val="000000" w:themeColor="text1"/>
                <w:sz w:val="22"/>
                <w:szCs w:val="22"/>
              </w:rPr>
            </w:pPr>
            <w:r w:rsidRPr="00C055F9">
              <w:rPr>
                <w:rFonts w:ascii="Aptos" w:hAnsi="Aptos"/>
                <w:color w:val="000000" w:themeColor="text1"/>
                <w:sz w:val="22"/>
                <w:szCs w:val="22"/>
              </w:rPr>
              <w:t xml:space="preserve">Regarding </w:t>
            </w:r>
            <w:r w:rsidR="00C94728" w:rsidRPr="00C055F9">
              <w:rPr>
                <w:rFonts w:ascii="Aptos" w:hAnsi="Aptos"/>
                <w:color w:val="000000" w:themeColor="text1"/>
                <w:sz w:val="22"/>
                <w:szCs w:val="22"/>
              </w:rPr>
              <w:t>AI Policy &amp; Readiness Assessment</w:t>
            </w:r>
            <w:r w:rsidR="00D10DEB" w:rsidRPr="00C055F9">
              <w:rPr>
                <w:rFonts w:ascii="Aptos" w:hAnsi="Aptos"/>
                <w:color w:val="000000" w:themeColor="text1"/>
                <w:sz w:val="22"/>
                <w:szCs w:val="22"/>
              </w:rPr>
              <w:t>, t</w:t>
            </w:r>
            <w:r w:rsidR="00AE4267" w:rsidRPr="00C055F9">
              <w:rPr>
                <w:rFonts w:ascii="Aptos" w:hAnsi="Aptos"/>
                <w:color w:val="000000" w:themeColor="text1"/>
                <w:sz w:val="22"/>
                <w:szCs w:val="22"/>
              </w:rPr>
              <w:t xml:space="preserve">he State of Indiana has adopted an enterprise-level policy governing the use of Artificial Intelligence (AI) within state government. Any proposed solution meeting these requirements must support the State’s AI Policy and follow the AI Readiness Assessment Process. See </w:t>
            </w:r>
            <w:hyperlink r:id="rId12" w:history="1">
              <w:r w:rsidR="00823AF2" w:rsidRPr="00C055F9">
                <w:rPr>
                  <w:rStyle w:val="Hyperlink"/>
                  <w:rFonts w:ascii="Aptos" w:hAnsi="Aptos"/>
                  <w:sz w:val="22"/>
                  <w:szCs w:val="22"/>
                </w:rPr>
                <w:t>https://www.in.gov/mph/AI/</w:t>
              </w:r>
            </w:hyperlink>
            <w:r w:rsidR="00823AF2" w:rsidRPr="00C055F9">
              <w:rPr>
                <w:rFonts w:ascii="Aptos" w:hAnsi="Aptos"/>
                <w:color w:val="000000" w:themeColor="text1"/>
                <w:sz w:val="22"/>
                <w:szCs w:val="22"/>
              </w:rPr>
              <w:t xml:space="preserve"> </w:t>
            </w:r>
          </w:p>
        </w:tc>
        <w:tc>
          <w:tcPr>
            <w:tcW w:w="1910" w:type="dxa"/>
            <w:shd w:val="clear" w:color="auto" w:fill="FFFFCC"/>
          </w:tcPr>
          <w:p w14:paraId="3AE58AA9" w14:textId="77777777" w:rsidR="0038556E" w:rsidRPr="0011494D" w:rsidRDefault="0038556E">
            <w:pPr>
              <w:rPr>
                <w:rFonts w:ascii="Aptos" w:eastAsia="Calibri" w:hAnsi="Aptos" w:cs="Calibri"/>
                <w:sz w:val="22"/>
                <w:szCs w:val="22"/>
              </w:rPr>
            </w:pPr>
          </w:p>
        </w:tc>
      </w:tr>
      <w:tr w:rsidR="00AE4267" w:rsidRPr="0011494D" w14:paraId="1E8A01B3" w14:textId="77777777" w:rsidTr="0011494D">
        <w:tc>
          <w:tcPr>
            <w:tcW w:w="1525" w:type="dxa"/>
            <w:vAlign w:val="center"/>
          </w:tcPr>
          <w:p w14:paraId="17D39419" w14:textId="617BE8C5" w:rsidR="00AE4267" w:rsidRDefault="00AE4267" w:rsidP="007B071B">
            <w:pPr>
              <w:pBdr>
                <w:top w:val="nil"/>
                <w:left w:val="nil"/>
                <w:bottom w:val="nil"/>
                <w:right w:val="nil"/>
                <w:between w:val="nil"/>
              </w:pBdr>
              <w:jc w:val="center"/>
              <w:rPr>
                <w:rFonts w:ascii="Aptos" w:eastAsia="Calibri" w:hAnsi="Aptos" w:cs="Calibri"/>
                <w:sz w:val="22"/>
                <w:szCs w:val="22"/>
              </w:rPr>
            </w:pPr>
            <w:r>
              <w:rPr>
                <w:rFonts w:ascii="Aptos" w:eastAsia="Calibri" w:hAnsi="Aptos" w:cs="Calibri"/>
                <w:sz w:val="22"/>
                <w:szCs w:val="22"/>
              </w:rPr>
              <w:t>12.</w:t>
            </w:r>
          </w:p>
        </w:tc>
        <w:tc>
          <w:tcPr>
            <w:tcW w:w="7290" w:type="dxa"/>
          </w:tcPr>
          <w:p w14:paraId="2AE55248" w14:textId="2223432A" w:rsidR="00C1273C" w:rsidRPr="00C055F9" w:rsidRDefault="00D10DEB" w:rsidP="00D10DEB">
            <w:pPr>
              <w:spacing w:line="276" w:lineRule="auto"/>
              <w:rPr>
                <w:rFonts w:ascii="Aptos" w:hAnsi="Aptos"/>
                <w:color w:val="000000" w:themeColor="text1"/>
                <w:sz w:val="22"/>
                <w:szCs w:val="22"/>
              </w:rPr>
            </w:pPr>
            <w:r w:rsidRPr="00C055F9">
              <w:rPr>
                <w:rFonts w:ascii="Aptos" w:hAnsi="Aptos"/>
                <w:color w:val="000000" w:themeColor="text1"/>
                <w:sz w:val="22"/>
                <w:szCs w:val="22"/>
              </w:rPr>
              <w:t xml:space="preserve">Regarding </w:t>
            </w:r>
            <w:r w:rsidR="00C1273C" w:rsidRPr="00C055F9">
              <w:rPr>
                <w:rFonts w:ascii="Aptos" w:hAnsi="Aptos"/>
                <w:color w:val="000000" w:themeColor="text1"/>
                <w:sz w:val="22"/>
                <w:szCs w:val="22"/>
              </w:rPr>
              <w:t>Access Indiana Authentication</w:t>
            </w:r>
            <w:r w:rsidRPr="00C055F9">
              <w:rPr>
                <w:rFonts w:ascii="Aptos" w:hAnsi="Aptos"/>
                <w:color w:val="000000" w:themeColor="text1"/>
                <w:sz w:val="22"/>
                <w:szCs w:val="22"/>
              </w:rPr>
              <w:t>, t</w:t>
            </w:r>
            <w:r w:rsidR="00823AF2" w:rsidRPr="00C055F9">
              <w:rPr>
                <w:rFonts w:ascii="Aptos" w:hAnsi="Aptos"/>
                <w:color w:val="000000" w:themeColor="text1"/>
                <w:sz w:val="22"/>
                <w:szCs w:val="22"/>
              </w:rPr>
              <w:t xml:space="preserve">he proposed solution is expected to integrate with Access Indiana. See </w:t>
            </w:r>
            <w:hyperlink r:id="rId13" w:history="1">
              <w:r w:rsidR="00823AF2" w:rsidRPr="00C055F9">
                <w:rPr>
                  <w:rStyle w:val="Hyperlink"/>
                  <w:rFonts w:ascii="Aptos" w:hAnsi="Aptos"/>
                  <w:sz w:val="22"/>
                  <w:szCs w:val="22"/>
                </w:rPr>
                <w:t>https://www.in.gov/inwp/applications/authentication/</w:t>
              </w:r>
            </w:hyperlink>
            <w:r w:rsidR="00823AF2" w:rsidRPr="00C055F9">
              <w:rPr>
                <w:rFonts w:ascii="Aptos" w:hAnsi="Aptos"/>
                <w:color w:val="000000" w:themeColor="text1"/>
                <w:sz w:val="22"/>
                <w:szCs w:val="22"/>
              </w:rPr>
              <w:t xml:space="preserve"> </w:t>
            </w:r>
          </w:p>
        </w:tc>
        <w:tc>
          <w:tcPr>
            <w:tcW w:w="1910" w:type="dxa"/>
            <w:shd w:val="clear" w:color="auto" w:fill="FFFFCC"/>
          </w:tcPr>
          <w:p w14:paraId="3A926DC5" w14:textId="77777777" w:rsidR="00AE4267" w:rsidRPr="0011494D" w:rsidRDefault="00AE4267">
            <w:pPr>
              <w:rPr>
                <w:rFonts w:ascii="Aptos" w:eastAsia="Calibri" w:hAnsi="Aptos" w:cs="Calibri"/>
                <w:sz w:val="22"/>
                <w:szCs w:val="22"/>
              </w:rPr>
            </w:pPr>
          </w:p>
        </w:tc>
      </w:tr>
      <w:tr w:rsidR="00823AF2" w:rsidRPr="0011494D" w14:paraId="034667C6" w14:textId="77777777" w:rsidTr="0011494D">
        <w:tc>
          <w:tcPr>
            <w:tcW w:w="1525" w:type="dxa"/>
            <w:vAlign w:val="center"/>
          </w:tcPr>
          <w:p w14:paraId="24FCE9E0" w14:textId="018CE6C2" w:rsidR="00823AF2" w:rsidRDefault="00823AF2" w:rsidP="007B071B">
            <w:pPr>
              <w:pBdr>
                <w:top w:val="nil"/>
                <w:left w:val="nil"/>
                <w:bottom w:val="nil"/>
                <w:right w:val="nil"/>
                <w:between w:val="nil"/>
              </w:pBdr>
              <w:jc w:val="center"/>
              <w:rPr>
                <w:rFonts w:ascii="Aptos" w:eastAsia="Calibri" w:hAnsi="Aptos" w:cs="Calibri"/>
                <w:sz w:val="22"/>
                <w:szCs w:val="22"/>
              </w:rPr>
            </w:pPr>
            <w:r>
              <w:rPr>
                <w:rFonts w:ascii="Aptos" w:eastAsia="Calibri" w:hAnsi="Aptos" w:cs="Calibri"/>
                <w:sz w:val="22"/>
                <w:szCs w:val="22"/>
              </w:rPr>
              <w:t>13.</w:t>
            </w:r>
          </w:p>
        </w:tc>
        <w:tc>
          <w:tcPr>
            <w:tcW w:w="7290" w:type="dxa"/>
          </w:tcPr>
          <w:p w14:paraId="15A4FF48" w14:textId="08F531FA" w:rsidR="00111E79" w:rsidRPr="00C055F9" w:rsidRDefault="00D10DEB" w:rsidP="00D10DEB">
            <w:pPr>
              <w:spacing w:line="276" w:lineRule="auto"/>
              <w:rPr>
                <w:rFonts w:ascii="Aptos" w:hAnsi="Aptos"/>
                <w:color w:val="000000" w:themeColor="text1"/>
                <w:sz w:val="22"/>
                <w:szCs w:val="22"/>
              </w:rPr>
            </w:pPr>
            <w:r w:rsidRPr="00C055F9">
              <w:rPr>
                <w:rFonts w:ascii="Aptos" w:hAnsi="Aptos"/>
                <w:color w:val="000000" w:themeColor="text1"/>
                <w:sz w:val="22"/>
                <w:szCs w:val="22"/>
              </w:rPr>
              <w:t xml:space="preserve">Regarding </w:t>
            </w:r>
            <w:r w:rsidR="00111E79" w:rsidRPr="00C055F9">
              <w:rPr>
                <w:rFonts w:ascii="Aptos" w:hAnsi="Aptos"/>
                <w:color w:val="000000" w:themeColor="text1"/>
                <w:sz w:val="22"/>
                <w:szCs w:val="22"/>
              </w:rPr>
              <w:t>Data Transmission Standards</w:t>
            </w:r>
            <w:r w:rsidRPr="00C055F9">
              <w:rPr>
                <w:rFonts w:ascii="Aptos" w:hAnsi="Aptos"/>
                <w:color w:val="000000" w:themeColor="text1"/>
                <w:sz w:val="22"/>
                <w:szCs w:val="22"/>
              </w:rPr>
              <w:t xml:space="preserve"> </w:t>
            </w:r>
            <w:proofErr w:type="gramStart"/>
            <w:r w:rsidRPr="00C055F9">
              <w:rPr>
                <w:rFonts w:ascii="Aptos" w:hAnsi="Aptos"/>
                <w:color w:val="000000" w:themeColor="text1"/>
                <w:sz w:val="22"/>
                <w:szCs w:val="22"/>
              </w:rPr>
              <w:t xml:space="preserve">for </w:t>
            </w:r>
            <w:r w:rsidR="00111E79" w:rsidRPr="00C055F9">
              <w:rPr>
                <w:rFonts w:ascii="Aptos" w:hAnsi="Aptos"/>
                <w:color w:val="000000" w:themeColor="text1"/>
                <w:sz w:val="22"/>
                <w:szCs w:val="22"/>
              </w:rPr>
              <w:t xml:space="preserve"> MuleSoft</w:t>
            </w:r>
            <w:proofErr w:type="gramEnd"/>
            <w:r w:rsidR="00111E79" w:rsidRPr="00C055F9">
              <w:rPr>
                <w:rFonts w:ascii="Aptos" w:hAnsi="Aptos"/>
                <w:color w:val="000000" w:themeColor="text1"/>
                <w:sz w:val="22"/>
                <w:szCs w:val="22"/>
              </w:rPr>
              <w:t xml:space="preserve">/API &amp; </w:t>
            </w:r>
            <w:proofErr w:type="spellStart"/>
            <w:r w:rsidR="00111E79" w:rsidRPr="00C055F9">
              <w:rPr>
                <w:rFonts w:ascii="Aptos" w:hAnsi="Aptos"/>
                <w:color w:val="000000" w:themeColor="text1"/>
                <w:sz w:val="22"/>
                <w:szCs w:val="22"/>
              </w:rPr>
              <w:t>GoAnywhere</w:t>
            </w:r>
            <w:proofErr w:type="spellEnd"/>
            <w:r w:rsidR="00111E79" w:rsidRPr="00C055F9">
              <w:rPr>
                <w:rFonts w:ascii="Aptos" w:hAnsi="Aptos"/>
                <w:color w:val="000000" w:themeColor="text1"/>
                <w:sz w:val="22"/>
                <w:szCs w:val="22"/>
              </w:rPr>
              <w:t xml:space="preserve"> MFT</w:t>
            </w:r>
            <w:r w:rsidRPr="00C055F9">
              <w:rPr>
                <w:rFonts w:ascii="Aptos" w:hAnsi="Aptos"/>
                <w:color w:val="000000" w:themeColor="text1"/>
                <w:sz w:val="22"/>
                <w:szCs w:val="22"/>
              </w:rPr>
              <w:t>, t</w:t>
            </w:r>
            <w:r w:rsidR="002E3C0E" w:rsidRPr="00C055F9">
              <w:rPr>
                <w:rFonts w:ascii="Aptos" w:hAnsi="Aptos"/>
                <w:color w:val="000000" w:themeColor="text1"/>
                <w:sz w:val="22"/>
                <w:szCs w:val="22"/>
              </w:rPr>
              <w:t xml:space="preserve">he Contractor’s solution must support the State’s standard API and file transfer methods to facilitate secure data transmission (MuleSoft API Management and </w:t>
            </w:r>
            <w:proofErr w:type="spellStart"/>
            <w:r w:rsidR="002E3C0E" w:rsidRPr="00C055F9">
              <w:rPr>
                <w:rFonts w:ascii="Aptos" w:hAnsi="Aptos"/>
                <w:color w:val="000000" w:themeColor="text1"/>
                <w:sz w:val="22"/>
                <w:szCs w:val="22"/>
              </w:rPr>
              <w:t>GoAnywhere</w:t>
            </w:r>
            <w:proofErr w:type="spellEnd"/>
            <w:r w:rsidR="002E3C0E" w:rsidRPr="00C055F9">
              <w:rPr>
                <w:rFonts w:ascii="Aptos" w:hAnsi="Aptos"/>
                <w:color w:val="000000" w:themeColor="text1"/>
                <w:sz w:val="22"/>
                <w:szCs w:val="22"/>
              </w:rPr>
              <w:t xml:space="preserve"> MFT). See </w:t>
            </w:r>
            <w:hyperlink r:id="rId14" w:history="1">
              <w:r w:rsidR="002E3C0E" w:rsidRPr="00C055F9">
                <w:rPr>
                  <w:rStyle w:val="Hyperlink"/>
                  <w:rFonts w:ascii="Aptos" w:hAnsi="Aptos"/>
                  <w:sz w:val="22"/>
                  <w:szCs w:val="22"/>
                </w:rPr>
                <w:t>https://www.in.gov/iot/policies-procedures-and-standards/applications-standards/</w:t>
              </w:r>
            </w:hyperlink>
            <w:r w:rsidR="002E3C0E" w:rsidRPr="00C055F9">
              <w:rPr>
                <w:rFonts w:ascii="Aptos" w:hAnsi="Aptos"/>
                <w:color w:val="000000" w:themeColor="text1"/>
                <w:sz w:val="22"/>
                <w:szCs w:val="22"/>
              </w:rPr>
              <w:t xml:space="preserve"> </w:t>
            </w:r>
          </w:p>
        </w:tc>
        <w:tc>
          <w:tcPr>
            <w:tcW w:w="1910" w:type="dxa"/>
            <w:shd w:val="clear" w:color="auto" w:fill="FFFFCC"/>
          </w:tcPr>
          <w:p w14:paraId="75E23CE1" w14:textId="77777777" w:rsidR="00823AF2" w:rsidRPr="0011494D" w:rsidRDefault="00823AF2">
            <w:pPr>
              <w:rPr>
                <w:rFonts w:ascii="Aptos" w:eastAsia="Calibri" w:hAnsi="Aptos" w:cs="Calibri"/>
                <w:sz w:val="22"/>
                <w:szCs w:val="22"/>
              </w:rPr>
            </w:pPr>
          </w:p>
        </w:tc>
      </w:tr>
      <w:tr w:rsidR="002E3C0E" w:rsidRPr="0011494D" w14:paraId="46652070" w14:textId="77777777" w:rsidTr="0011494D">
        <w:tc>
          <w:tcPr>
            <w:tcW w:w="1525" w:type="dxa"/>
            <w:vAlign w:val="center"/>
          </w:tcPr>
          <w:p w14:paraId="1B64A8BC" w14:textId="61562057" w:rsidR="002E3C0E" w:rsidRDefault="002E3C0E" w:rsidP="007B071B">
            <w:pPr>
              <w:pBdr>
                <w:top w:val="nil"/>
                <w:left w:val="nil"/>
                <w:bottom w:val="nil"/>
                <w:right w:val="nil"/>
                <w:between w:val="nil"/>
              </w:pBdr>
              <w:jc w:val="center"/>
              <w:rPr>
                <w:rFonts w:ascii="Aptos" w:eastAsia="Calibri" w:hAnsi="Aptos" w:cs="Calibri"/>
                <w:sz w:val="22"/>
                <w:szCs w:val="22"/>
              </w:rPr>
            </w:pPr>
            <w:r>
              <w:rPr>
                <w:rFonts w:ascii="Aptos" w:eastAsia="Calibri" w:hAnsi="Aptos" w:cs="Calibri"/>
                <w:sz w:val="22"/>
                <w:szCs w:val="22"/>
              </w:rPr>
              <w:t>14.</w:t>
            </w:r>
          </w:p>
        </w:tc>
        <w:tc>
          <w:tcPr>
            <w:tcW w:w="7290" w:type="dxa"/>
          </w:tcPr>
          <w:p w14:paraId="7FAA06A4" w14:textId="14866340" w:rsidR="003D1FF4" w:rsidRPr="00C055F9" w:rsidRDefault="00D10DEB" w:rsidP="00D10DEB">
            <w:pPr>
              <w:spacing w:line="276" w:lineRule="auto"/>
              <w:rPr>
                <w:rFonts w:ascii="Aptos" w:hAnsi="Aptos"/>
                <w:color w:val="000000" w:themeColor="text1"/>
                <w:sz w:val="22"/>
                <w:szCs w:val="22"/>
              </w:rPr>
            </w:pPr>
            <w:r w:rsidRPr="00C055F9">
              <w:rPr>
                <w:rFonts w:ascii="Aptos" w:hAnsi="Aptos"/>
                <w:color w:val="000000" w:themeColor="text1"/>
                <w:sz w:val="22"/>
                <w:szCs w:val="22"/>
              </w:rPr>
              <w:t xml:space="preserve">Regarding </w:t>
            </w:r>
            <w:r w:rsidR="003D1FF4" w:rsidRPr="00C055F9">
              <w:rPr>
                <w:rFonts w:ascii="Aptos" w:hAnsi="Aptos"/>
                <w:color w:val="000000" w:themeColor="text1"/>
                <w:sz w:val="22"/>
                <w:szCs w:val="22"/>
              </w:rPr>
              <w:t>Assistive Technology</w:t>
            </w:r>
            <w:r w:rsidRPr="00C055F9">
              <w:rPr>
                <w:rFonts w:ascii="Aptos" w:hAnsi="Aptos"/>
                <w:color w:val="000000" w:themeColor="text1"/>
                <w:sz w:val="22"/>
                <w:szCs w:val="22"/>
              </w:rPr>
              <w:t>, a</w:t>
            </w:r>
            <w:r w:rsidR="00CD5608" w:rsidRPr="00C055F9">
              <w:rPr>
                <w:rFonts w:ascii="Aptos" w:hAnsi="Aptos"/>
                <w:color w:val="000000" w:themeColor="text1"/>
                <w:sz w:val="22"/>
                <w:szCs w:val="22"/>
              </w:rPr>
              <w:t>ll hardware, software and services provided to or purchased by the State shall be compatible with the Assistive Technology Standard and the State’s architectural standards. Any deviation must be approved in writing by IOT in advance.</w:t>
            </w:r>
          </w:p>
        </w:tc>
        <w:tc>
          <w:tcPr>
            <w:tcW w:w="1910" w:type="dxa"/>
            <w:shd w:val="clear" w:color="auto" w:fill="FFFFCC"/>
          </w:tcPr>
          <w:p w14:paraId="38CDB352" w14:textId="77777777" w:rsidR="002E3C0E" w:rsidRPr="0011494D" w:rsidRDefault="002E3C0E">
            <w:pPr>
              <w:rPr>
                <w:rFonts w:ascii="Aptos" w:eastAsia="Calibri" w:hAnsi="Aptos" w:cs="Calibri"/>
                <w:sz w:val="22"/>
                <w:szCs w:val="22"/>
              </w:rPr>
            </w:pPr>
          </w:p>
        </w:tc>
      </w:tr>
      <w:tr w:rsidR="00CD5608" w:rsidRPr="0011494D" w14:paraId="00E7866D" w14:textId="77777777" w:rsidTr="0011494D">
        <w:tc>
          <w:tcPr>
            <w:tcW w:w="1525" w:type="dxa"/>
            <w:vAlign w:val="center"/>
          </w:tcPr>
          <w:p w14:paraId="0818EB90" w14:textId="04DAB168" w:rsidR="00CD5608" w:rsidRDefault="00CD5608" w:rsidP="007B071B">
            <w:pPr>
              <w:pBdr>
                <w:top w:val="nil"/>
                <w:left w:val="nil"/>
                <w:bottom w:val="nil"/>
                <w:right w:val="nil"/>
                <w:between w:val="nil"/>
              </w:pBdr>
              <w:jc w:val="center"/>
              <w:rPr>
                <w:rFonts w:ascii="Aptos" w:eastAsia="Calibri" w:hAnsi="Aptos" w:cs="Calibri"/>
                <w:sz w:val="22"/>
                <w:szCs w:val="22"/>
              </w:rPr>
            </w:pPr>
            <w:r>
              <w:rPr>
                <w:rFonts w:ascii="Aptos" w:eastAsia="Calibri" w:hAnsi="Aptos" w:cs="Calibri"/>
                <w:sz w:val="22"/>
                <w:szCs w:val="22"/>
              </w:rPr>
              <w:t>15.</w:t>
            </w:r>
          </w:p>
        </w:tc>
        <w:tc>
          <w:tcPr>
            <w:tcW w:w="7290" w:type="dxa"/>
          </w:tcPr>
          <w:p w14:paraId="3F119B2D" w14:textId="12CA48A9" w:rsidR="001B0280" w:rsidRPr="00C055F9" w:rsidRDefault="00D10DEB" w:rsidP="00D10DEB">
            <w:pPr>
              <w:spacing w:line="276" w:lineRule="auto"/>
              <w:rPr>
                <w:rFonts w:ascii="Aptos" w:hAnsi="Aptos"/>
                <w:color w:val="000000" w:themeColor="text1"/>
                <w:sz w:val="22"/>
                <w:szCs w:val="22"/>
              </w:rPr>
            </w:pPr>
            <w:r w:rsidRPr="00C055F9">
              <w:rPr>
                <w:rFonts w:ascii="Aptos" w:hAnsi="Aptos"/>
                <w:color w:val="000000" w:themeColor="text1"/>
                <w:sz w:val="22"/>
                <w:szCs w:val="22"/>
              </w:rPr>
              <w:t xml:space="preserve">Regarding </w:t>
            </w:r>
            <w:r w:rsidR="001B0280" w:rsidRPr="00C055F9">
              <w:rPr>
                <w:rFonts w:ascii="Aptos" w:hAnsi="Aptos"/>
                <w:color w:val="000000" w:themeColor="text1"/>
                <w:sz w:val="22"/>
                <w:szCs w:val="22"/>
              </w:rPr>
              <w:t>Business Continuity–Disaster Recovery Plan</w:t>
            </w:r>
            <w:r w:rsidRPr="00C055F9">
              <w:rPr>
                <w:rFonts w:ascii="Aptos" w:hAnsi="Aptos"/>
                <w:color w:val="000000" w:themeColor="text1"/>
                <w:sz w:val="22"/>
                <w:szCs w:val="22"/>
              </w:rPr>
              <w:t>, the c</w:t>
            </w:r>
            <w:r w:rsidR="004B40AA" w:rsidRPr="00C055F9">
              <w:rPr>
                <w:rFonts w:ascii="Aptos" w:hAnsi="Aptos"/>
                <w:color w:val="000000" w:themeColor="text1"/>
                <w:sz w:val="22"/>
                <w:szCs w:val="22"/>
              </w:rPr>
              <w:t>ontractor shall maintain and share with the State a Disaster Recovery Plan and maintain a Business Continuity Plan dedicated to operating State systems, updating annually and sharing updates with the State.</w:t>
            </w:r>
          </w:p>
        </w:tc>
        <w:tc>
          <w:tcPr>
            <w:tcW w:w="1910" w:type="dxa"/>
            <w:shd w:val="clear" w:color="auto" w:fill="FFFFCC"/>
          </w:tcPr>
          <w:p w14:paraId="217AD91A" w14:textId="77777777" w:rsidR="00CD5608" w:rsidRPr="0011494D" w:rsidRDefault="00CD5608">
            <w:pPr>
              <w:rPr>
                <w:rFonts w:ascii="Aptos" w:eastAsia="Calibri" w:hAnsi="Aptos" w:cs="Calibri"/>
                <w:sz w:val="22"/>
                <w:szCs w:val="22"/>
              </w:rPr>
            </w:pPr>
          </w:p>
        </w:tc>
      </w:tr>
      <w:tr w:rsidR="004B40AA" w:rsidRPr="0011494D" w14:paraId="50090147" w14:textId="77777777" w:rsidTr="0011494D">
        <w:tc>
          <w:tcPr>
            <w:tcW w:w="1525" w:type="dxa"/>
            <w:vAlign w:val="center"/>
          </w:tcPr>
          <w:p w14:paraId="4CAF6825" w14:textId="766CDF39" w:rsidR="004B40AA" w:rsidRDefault="004B40AA" w:rsidP="007B071B">
            <w:pPr>
              <w:pBdr>
                <w:top w:val="nil"/>
                <w:left w:val="nil"/>
                <w:bottom w:val="nil"/>
                <w:right w:val="nil"/>
                <w:between w:val="nil"/>
              </w:pBdr>
              <w:jc w:val="center"/>
              <w:rPr>
                <w:rFonts w:ascii="Aptos" w:eastAsia="Calibri" w:hAnsi="Aptos" w:cs="Calibri"/>
                <w:sz w:val="22"/>
                <w:szCs w:val="22"/>
              </w:rPr>
            </w:pPr>
            <w:r>
              <w:rPr>
                <w:rFonts w:ascii="Aptos" w:eastAsia="Calibri" w:hAnsi="Aptos" w:cs="Calibri"/>
                <w:sz w:val="22"/>
                <w:szCs w:val="22"/>
              </w:rPr>
              <w:t>16.</w:t>
            </w:r>
          </w:p>
        </w:tc>
        <w:tc>
          <w:tcPr>
            <w:tcW w:w="7290" w:type="dxa"/>
          </w:tcPr>
          <w:p w14:paraId="003B2318" w14:textId="001994CB" w:rsidR="004B40AA" w:rsidRPr="00C055F9" w:rsidRDefault="00BE79A5" w:rsidP="00C055F9">
            <w:pPr>
              <w:spacing w:after="160" w:line="278" w:lineRule="auto"/>
              <w:rPr>
                <w:rFonts w:ascii="Aptos" w:hAnsi="Aptos"/>
                <w:color w:val="000000" w:themeColor="text1"/>
                <w:sz w:val="22"/>
                <w:szCs w:val="22"/>
              </w:rPr>
            </w:pPr>
            <w:r w:rsidRPr="00C055F9">
              <w:rPr>
                <w:rFonts w:ascii="Aptos" w:hAnsi="Aptos"/>
                <w:color w:val="000000" w:themeColor="text1"/>
                <w:sz w:val="22"/>
                <w:szCs w:val="22"/>
              </w:rPr>
              <w:t>Regarding Incident Response Documentation, the r</w:t>
            </w:r>
            <w:r w:rsidR="00CC22BF" w:rsidRPr="00C055F9">
              <w:rPr>
                <w:rFonts w:ascii="Aptos" w:hAnsi="Aptos"/>
                <w:color w:val="000000" w:themeColor="text1"/>
                <w:sz w:val="22"/>
                <w:szCs w:val="22"/>
              </w:rPr>
              <w:t>espondent must provide incident response process documentation including contact/ticket submission process, escalation procedures, and reporting of resolved incidents back to IOT (including root cause analysis and lessons learned for large incidents).</w:t>
            </w:r>
          </w:p>
        </w:tc>
        <w:tc>
          <w:tcPr>
            <w:tcW w:w="1910" w:type="dxa"/>
            <w:shd w:val="clear" w:color="auto" w:fill="FFFFCC"/>
          </w:tcPr>
          <w:p w14:paraId="77BE066A" w14:textId="77777777" w:rsidR="004B40AA" w:rsidRPr="0011494D" w:rsidRDefault="004B40AA">
            <w:pPr>
              <w:rPr>
                <w:rFonts w:ascii="Aptos" w:eastAsia="Calibri" w:hAnsi="Aptos" w:cs="Calibri"/>
                <w:sz w:val="22"/>
                <w:szCs w:val="22"/>
              </w:rPr>
            </w:pPr>
          </w:p>
        </w:tc>
      </w:tr>
    </w:tbl>
    <w:p w14:paraId="0000005A" w14:textId="77777777" w:rsidR="00824604" w:rsidRPr="0011494D" w:rsidRDefault="00824604">
      <w:pPr>
        <w:widowControl/>
        <w:rPr>
          <w:rFonts w:ascii="Aptos" w:eastAsia="Calibri" w:hAnsi="Aptos" w:cs="Calibri"/>
          <w:sz w:val="22"/>
          <w:szCs w:val="22"/>
        </w:rPr>
      </w:pPr>
    </w:p>
    <w:sectPr w:rsidR="00824604" w:rsidRPr="0011494D">
      <w:headerReference w:type="default" r:id="rId15"/>
      <w:footerReference w:type="default" r:id="rId16"/>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46684" w14:textId="77777777" w:rsidR="005E0CD4" w:rsidRDefault="005E0CD4">
      <w:r>
        <w:separator/>
      </w:r>
    </w:p>
  </w:endnote>
  <w:endnote w:type="continuationSeparator" w:id="0">
    <w:p w14:paraId="0B3F097F" w14:textId="77777777" w:rsidR="005E0CD4" w:rsidRDefault="005E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5B" w14:textId="22125213" w:rsidR="00824604" w:rsidRDefault="299CC879" w:rsidP="299CC879">
    <w:pPr>
      <w:pBdr>
        <w:top w:val="nil"/>
        <w:left w:val="nil"/>
        <w:bottom w:val="nil"/>
        <w:right w:val="nil"/>
        <w:between w:val="nil"/>
      </w:pBdr>
      <w:tabs>
        <w:tab w:val="center" w:pos="4680"/>
        <w:tab w:val="right" w:pos="9360"/>
      </w:tabs>
      <w:rPr>
        <w:rFonts w:ascii="Calibri" w:eastAsia="Calibri" w:hAnsi="Calibri" w:cs="Calibri"/>
        <w:color w:val="000000"/>
        <w:sz w:val="20"/>
        <w:szCs w:val="20"/>
      </w:rPr>
    </w:pPr>
    <w:r w:rsidRPr="299CC879">
      <w:rPr>
        <w:rFonts w:ascii="Calibri" w:eastAsia="Calibri" w:hAnsi="Calibri" w:cs="Calibri"/>
        <w:b/>
        <w:bCs/>
        <w:color w:val="000000" w:themeColor="text1"/>
        <w:sz w:val="20"/>
        <w:szCs w:val="20"/>
      </w:rPr>
      <w:t>RFP #25-</w:t>
    </w:r>
    <w:r w:rsidR="00E31648">
      <w:rPr>
        <w:rFonts w:ascii="Calibri" w:eastAsia="Calibri" w:hAnsi="Calibri" w:cs="Calibri"/>
        <w:b/>
        <w:bCs/>
        <w:color w:val="000000" w:themeColor="text1"/>
        <w:sz w:val="20"/>
        <w:szCs w:val="20"/>
      </w:rPr>
      <w:t>83596</w:t>
    </w:r>
    <w:r w:rsidRPr="299CC879">
      <w:rPr>
        <w:rFonts w:ascii="Calibri" w:eastAsia="Calibri" w:hAnsi="Calibri" w:cs="Calibri"/>
        <w:color w:val="000000" w:themeColor="text1"/>
        <w:sz w:val="20"/>
        <w:szCs w:val="20"/>
      </w:rPr>
      <w:t xml:space="preserve"> </w:t>
    </w:r>
    <w:r w:rsidR="00E31648">
      <w:rPr>
        <w:rFonts w:ascii="Calibri" w:eastAsia="Calibri" w:hAnsi="Calibri" w:cs="Calibri"/>
        <w:color w:val="000000" w:themeColor="text1"/>
        <w:sz w:val="20"/>
        <w:szCs w:val="20"/>
      </w:rPr>
      <w:t>Indiana State Police Health, Wellness, and Readiness Services</w:t>
    </w:r>
    <w:r w:rsidR="001469DD">
      <w:tab/>
    </w:r>
  </w:p>
  <w:p w14:paraId="0000005C" w14:textId="5711AA77" w:rsidR="00824604" w:rsidRDefault="001469DD">
    <w:pPr>
      <w:pBdr>
        <w:top w:val="nil"/>
        <w:left w:val="nil"/>
        <w:bottom w:val="nil"/>
        <w:right w:val="nil"/>
        <w:between w:val="nil"/>
      </w:pBdr>
      <w:tabs>
        <w:tab w:val="center" w:pos="4680"/>
        <w:tab w:val="right" w:pos="9360"/>
      </w:tabs>
      <w:rPr>
        <w:rFonts w:ascii="Calibri" w:eastAsia="Calibri" w:hAnsi="Calibri" w:cs="Calibri"/>
        <w:color w:val="000000"/>
        <w:sz w:val="20"/>
        <w:szCs w:val="20"/>
      </w:rPr>
    </w:pPr>
    <w:r>
      <w:rPr>
        <w:rFonts w:ascii="Calibri" w:eastAsia="Calibri" w:hAnsi="Calibri" w:cs="Calibri"/>
        <w:b/>
        <w:color w:val="000000"/>
        <w:sz w:val="20"/>
        <w:szCs w:val="20"/>
      </w:rPr>
      <w:t xml:space="preserve">Attachment F1 </w:t>
    </w:r>
    <w:r>
      <w:rPr>
        <w:rFonts w:ascii="Calibri" w:eastAsia="Calibri" w:hAnsi="Calibri" w:cs="Calibri"/>
        <w:color w:val="000000"/>
        <w:sz w:val="20"/>
        <w:szCs w:val="20"/>
      </w:rPr>
      <w:t>Minimum Requirements Form</w:t>
    </w:r>
    <w:r>
      <w:rPr>
        <w:rFonts w:ascii="Calibri" w:eastAsia="Calibri" w:hAnsi="Calibri" w:cs="Calibri"/>
        <w:color w:val="000000"/>
        <w:sz w:val="20"/>
        <w:szCs w:val="20"/>
      </w:rPr>
      <w:tab/>
    </w:r>
    <w:r>
      <w:rPr>
        <w:rFonts w:ascii="Calibri" w:eastAsia="Calibri" w:hAnsi="Calibri" w:cs="Calibri"/>
        <w:color w:val="000000"/>
        <w:sz w:val="20"/>
        <w:szCs w:val="20"/>
      </w:rPr>
      <w:tab/>
      <w:t xml:space="preserve">Page </w:t>
    </w:r>
    <w:r>
      <w:rPr>
        <w:rFonts w:ascii="Calibri" w:eastAsia="Calibri" w:hAnsi="Calibri" w:cs="Calibri"/>
        <w:b/>
        <w:color w:val="000000"/>
        <w:sz w:val="20"/>
        <w:szCs w:val="20"/>
      </w:rPr>
      <w:fldChar w:fldCharType="begin"/>
    </w:r>
    <w:r>
      <w:rPr>
        <w:rFonts w:ascii="Calibri" w:eastAsia="Calibri" w:hAnsi="Calibri" w:cs="Calibri"/>
        <w:b/>
        <w:color w:val="000000"/>
        <w:sz w:val="20"/>
        <w:szCs w:val="20"/>
      </w:rPr>
      <w:instrText>PAGE</w:instrText>
    </w:r>
    <w:r>
      <w:rPr>
        <w:rFonts w:ascii="Calibri" w:eastAsia="Calibri" w:hAnsi="Calibri" w:cs="Calibri"/>
        <w:b/>
        <w:color w:val="000000"/>
        <w:sz w:val="20"/>
        <w:szCs w:val="20"/>
      </w:rPr>
      <w:fldChar w:fldCharType="separate"/>
    </w:r>
    <w:r w:rsidR="00635E70">
      <w:rPr>
        <w:rFonts w:ascii="Calibri" w:eastAsia="Calibri" w:hAnsi="Calibri" w:cs="Calibri"/>
        <w:b/>
        <w:noProof/>
        <w:color w:val="000000"/>
        <w:sz w:val="20"/>
        <w:szCs w:val="20"/>
      </w:rPr>
      <w:t>1</w:t>
    </w:r>
    <w:r>
      <w:rPr>
        <w:rFonts w:ascii="Calibri" w:eastAsia="Calibri" w:hAnsi="Calibri" w:cs="Calibri"/>
        <w:b/>
        <w:color w:val="000000"/>
        <w:sz w:val="20"/>
        <w:szCs w:val="20"/>
      </w:rPr>
      <w:fldChar w:fldCharType="end"/>
    </w:r>
    <w:r>
      <w:rPr>
        <w:rFonts w:ascii="Calibri" w:eastAsia="Calibri" w:hAnsi="Calibri" w:cs="Calibri"/>
        <w:b/>
        <w:color w:val="000000"/>
        <w:sz w:val="20"/>
        <w:szCs w:val="20"/>
      </w:rPr>
      <w:t xml:space="preserve"> </w:t>
    </w:r>
    <w:r>
      <w:rPr>
        <w:rFonts w:ascii="Calibri" w:eastAsia="Calibri" w:hAnsi="Calibri" w:cs="Calibri"/>
        <w:color w:val="000000"/>
        <w:sz w:val="20"/>
        <w:szCs w:val="20"/>
      </w:rPr>
      <w:t>of</w:t>
    </w:r>
    <w:r>
      <w:rPr>
        <w:rFonts w:ascii="Calibri" w:eastAsia="Calibri" w:hAnsi="Calibri" w:cs="Calibri"/>
        <w:b/>
        <w:color w:val="000000"/>
        <w:sz w:val="20"/>
        <w:szCs w:val="20"/>
      </w:rPr>
      <w:t xml:space="preserve"> </w:t>
    </w:r>
    <w:r>
      <w:rPr>
        <w:rFonts w:ascii="Calibri" w:eastAsia="Calibri" w:hAnsi="Calibri" w:cs="Calibri"/>
        <w:b/>
        <w:color w:val="000000"/>
        <w:sz w:val="20"/>
        <w:szCs w:val="20"/>
      </w:rPr>
      <w:fldChar w:fldCharType="begin"/>
    </w:r>
    <w:r>
      <w:rPr>
        <w:rFonts w:ascii="Calibri" w:eastAsia="Calibri" w:hAnsi="Calibri" w:cs="Calibri"/>
        <w:b/>
        <w:color w:val="000000"/>
        <w:sz w:val="20"/>
        <w:szCs w:val="20"/>
      </w:rPr>
      <w:instrText>NUMPAGES</w:instrText>
    </w:r>
    <w:r>
      <w:rPr>
        <w:rFonts w:ascii="Calibri" w:eastAsia="Calibri" w:hAnsi="Calibri" w:cs="Calibri"/>
        <w:b/>
        <w:color w:val="000000"/>
        <w:sz w:val="20"/>
        <w:szCs w:val="20"/>
      </w:rPr>
      <w:fldChar w:fldCharType="separate"/>
    </w:r>
    <w:r w:rsidR="00635E70">
      <w:rPr>
        <w:rFonts w:ascii="Calibri" w:eastAsia="Calibri" w:hAnsi="Calibri" w:cs="Calibri"/>
        <w:b/>
        <w:noProof/>
        <w:color w:val="000000"/>
        <w:sz w:val="20"/>
        <w:szCs w:val="20"/>
      </w:rPr>
      <w:t>2</w:t>
    </w:r>
    <w:r>
      <w:rPr>
        <w:rFonts w:ascii="Calibri" w:eastAsia="Calibri" w:hAnsi="Calibri" w:cs="Calibri"/>
        <w:b/>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8B530" w14:textId="77777777" w:rsidR="005E0CD4" w:rsidRDefault="005E0CD4">
      <w:r>
        <w:separator/>
      </w:r>
    </w:p>
  </w:footnote>
  <w:footnote w:type="continuationSeparator" w:id="0">
    <w:p w14:paraId="78431830" w14:textId="77777777" w:rsidR="005E0CD4" w:rsidRDefault="005E0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299CC879" w14:paraId="2BD7824A" w14:textId="77777777" w:rsidTr="299CC879">
      <w:trPr>
        <w:trHeight w:val="300"/>
      </w:trPr>
      <w:tc>
        <w:tcPr>
          <w:tcW w:w="3600" w:type="dxa"/>
        </w:tcPr>
        <w:p w14:paraId="11F6B583" w14:textId="111D0457" w:rsidR="299CC879" w:rsidRDefault="299CC879" w:rsidP="299CC879">
          <w:pPr>
            <w:pStyle w:val="Header"/>
            <w:ind w:left="-115"/>
          </w:pPr>
        </w:p>
      </w:tc>
      <w:tc>
        <w:tcPr>
          <w:tcW w:w="3600" w:type="dxa"/>
        </w:tcPr>
        <w:p w14:paraId="4756D684" w14:textId="10A74581" w:rsidR="299CC879" w:rsidRDefault="299CC879" w:rsidP="299CC879">
          <w:pPr>
            <w:pStyle w:val="Header"/>
            <w:jc w:val="center"/>
          </w:pPr>
        </w:p>
      </w:tc>
      <w:tc>
        <w:tcPr>
          <w:tcW w:w="3600" w:type="dxa"/>
        </w:tcPr>
        <w:p w14:paraId="3BE4DDB2" w14:textId="591FC423" w:rsidR="299CC879" w:rsidRDefault="299CC879" w:rsidP="299CC879">
          <w:pPr>
            <w:pStyle w:val="Header"/>
            <w:ind w:right="-115"/>
            <w:jc w:val="right"/>
          </w:pPr>
        </w:p>
      </w:tc>
    </w:tr>
  </w:tbl>
  <w:p w14:paraId="2B59F065" w14:textId="0C40F1CF" w:rsidR="299CC879" w:rsidRDefault="299CC879" w:rsidP="299CC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D466B"/>
    <w:multiLevelType w:val="hybridMultilevel"/>
    <w:tmpl w:val="9682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3543F"/>
    <w:multiLevelType w:val="hybridMultilevel"/>
    <w:tmpl w:val="69348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825EF2"/>
    <w:multiLevelType w:val="hybridMultilevel"/>
    <w:tmpl w:val="62F25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25F14"/>
    <w:multiLevelType w:val="hybridMultilevel"/>
    <w:tmpl w:val="778CB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EE135A"/>
    <w:multiLevelType w:val="multilevel"/>
    <w:tmpl w:val="4B38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EF65D2"/>
    <w:multiLevelType w:val="multilevel"/>
    <w:tmpl w:val="0E60C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123931"/>
    <w:multiLevelType w:val="multilevel"/>
    <w:tmpl w:val="B91AB0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E830F69"/>
    <w:multiLevelType w:val="multilevel"/>
    <w:tmpl w:val="B1826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58392F"/>
    <w:multiLevelType w:val="multilevel"/>
    <w:tmpl w:val="E5B868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E0922FC"/>
    <w:multiLevelType w:val="hybridMultilevel"/>
    <w:tmpl w:val="88DCD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CA6E9E"/>
    <w:multiLevelType w:val="hybridMultilevel"/>
    <w:tmpl w:val="FD66D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443094"/>
    <w:multiLevelType w:val="hybridMultilevel"/>
    <w:tmpl w:val="BBB81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1651280">
    <w:abstractNumId w:val="6"/>
  </w:num>
  <w:num w:numId="2" w16cid:durableId="187716472">
    <w:abstractNumId w:val="9"/>
  </w:num>
  <w:num w:numId="3" w16cid:durableId="1985969233">
    <w:abstractNumId w:val="2"/>
  </w:num>
  <w:num w:numId="4" w16cid:durableId="1023674772">
    <w:abstractNumId w:val="1"/>
  </w:num>
  <w:num w:numId="5" w16cid:durableId="1787919724">
    <w:abstractNumId w:val="10"/>
  </w:num>
  <w:num w:numId="6" w16cid:durableId="908424987">
    <w:abstractNumId w:val="0"/>
  </w:num>
  <w:num w:numId="7" w16cid:durableId="497967698">
    <w:abstractNumId w:val="4"/>
  </w:num>
  <w:num w:numId="8" w16cid:durableId="890768797">
    <w:abstractNumId w:val="7"/>
  </w:num>
  <w:num w:numId="9" w16cid:durableId="1363172397">
    <w:abstractNumId w:val="11"/>
  </w:num>
  <w:num w:numId="10" w16cid:durableId="1469783120">
    <w:abstractNumId w:val="5"/>
  </w:num>
  <w:num w:numId="11" w16cid:durableId="31445457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84700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604"/>
    <w:rsid w:val="00065D01"/>
    <w:rsid w:val="000816A8"/>
    <w:rsid w:val="000A253F"/>
    <w:rsid w:val="000B2243"/>
    <w:rsid w:val="000B5B55"/>
    <w:rsid w:val="000C6139"/>
    <w:rsid w:val="000D0CD7"/>
    <w:rsid w:val="000F1D32"/>
    <w:rsid w:val="00111E79"/>
    <w:rsid w:val="0011494D"/>
    <w:rsid w:val="001469DD"/>
    <w:rsid w:val="00150269"/>
    <w:rsid w:val="00161F8F"/>
    <w:rsid w:val="001B0280"/>
    <w:rsid w:val="001D67B9"/>
    <w:rsid w:val="00203D9C"/>
    <w:rsid w:val="00214BB0"/>
    <w:rsid w:val="002223D9"/>
    <w:rsid w:val="002559AE"/>
    <w:rsid w:val="00266420"/>
    <w:rsid w:val="0029465F"/>
    <w:rsid w:val="00297845"/>
    <w:rsid w:val="002A3AE0"/>
    <w:rsid w:val="002C0C8E"/>
    <w:rsid w:val="002D3F03"/>
    <w:rsid w:val="002E3C0E"/>
    <w:rsid w:val="002F5C52"/>
    <w:rsid w:val="00304ABE"/>
    <w:rsid w:val="00306D35"/>
    <w:rsid w:val="0038556E"/>
    <w:rsid w:val="0038779B"/>
    <w:rsid w:val="003A11A2"/>
    <w:rsid w:val="003C3E50"/>
    <w:rsid w:val="003D1E9D"/>
    <w:rsid w:val="003D1FF4"/>
    <w:rsid w:val="003D7F2C"/>
    <w:rsid w:val="003E64BE"/>
    <w:rsid w:val="003F0DA3"/>
    <w:rsid w:val="00404263"/>
    <w:rsid w:val="00436DEC"/>
    <w:rsid w:val="0044256E"/>
    <w:rsid w:val="00463EF1"/>
    <w:rsid w:val="00471C10"/>
    <w:rsid w:val="004935F3"/>
    <w:rsid w:val="004B40AA"/>
    <w:rsid w:val="004C2D0F"/>
    <w:rsid w:val="004E40C6"/>
    <w:rsid w:val="00502784"/>
    <w:rsid w:val="00523E67"/>
    <w:rsid w:val="0055274A"/>
    <w:rsid w:val="00583973"/>
    <w:rsid w:val="00593529"/>
    <w:rsid w:val="005A524D"/>
    <w:rsid w:val="005C0929"/>
    <w:rsid w:val="005D5DEF"/>
    <w:rsid w:val="005E0CD4"/>
    <w:rsid w:val="005F64ED"/>
    <w:rsid w:val="00604B14"/>
    <w:rsid w:val="006266F3"/>
    <w:rsid w:val="00635E70"/>
    <w:rsid w:val="00665322"/>
    <w:rsid w:val="0072187C"/>
    <w:rsid w:val="00770F9E"/>
    <w:rsid w:val="007940F6"/>
    <w:rsid w:val="007B04D5"/>
    <w:rsid w:val="007B071B"/>
    <w:rsid w:val="007B5D55"/>
    <w:rsid w:val="007E6E84"/>
    <w:rsid w:val="007E71BC"/>
    <w:rsid w:val="007F4A14"/>
    <w:rsid w:val="00823AF2"/>
    <w:rsid w:val="00824604"/>
    <w:rsid w:val="00850912"/>
    <w:rsid w:val="008E6713"/>
    <w:rsid w:val="009036D3"/>
    <w:rsid w:val="009212CA"/>
    <w:rsid w:val="00922DFB"/>
    <w:rsid w:val="00944C33"/>
    <w:rsid w:val="00996618"/>
    <w:rsid w:val="009A44B9"/>
    <w:rsid w:val="009C4848"/>
    <w:rsid w:val="009D226A"/>
    <w:rsid w:val="009E1D0E"/>
    <w:rsid w:val="009E3397"/>
    <w:rsid w:val="00A02DF6"/>
    <w:rsid w:val="00A21C5E"/>
    <w:rsid w:val="00A665A3"/>
    <w:rsid w:val="00A737B0"/>
    <w:rsid w:val="00AA5916"/>
    <w:rsid w:val="00AE4267"/>
    <w:rsid w:val="00B27E3A"/>
    <w:rsid w:val="00B410A2"/>
    <w:rsid w:val="00B714E3"/>
    <w:rsid w:val="00BC4E62"/>
    <w:rsid w:val="00BE74BA"/>
    <w:rsid w:val="00BE79A5"/>
    <w:rsid w:val="00BF16AF"/>
    <w:rsid w:val="00C055F9"/>
    <w:rsid w:val="00C1273C"/>
    <w:rsid w:val="00C5332B"/>
    <w:rsid w:val="00C61226"/>
    <w:rsid w:val="00C87716"/>
    <w:rsid w:val="00C94728"/>
    <w:rsid w:val="00CB1E5E"/>
    <w:rsid w:val="00CC22BF"/>
    <w:rsid w:val="00CD4839"/>
    <w:rsid w:val="00CD5608"/>
    <w:rsid w:val="00CF5F86"/>
    <w:rsid w:val="00D10DEB"/>
    <w:rsid w:val="00D643D6"/>
    <w:rsid w:val="00DA09A8"/>
    <w:rsid w:val="00DB530E"/>
    <w:rsid w:val="00DC241D"/>
    <w:rsid w:val="00DE5383"/>
    <w:rsid w:val="00DF1B73"/>
    <w:rsid w:val="00E23B51"/>
    <w:rsid w:val="00E279CA"/>
    <w:rsid w:val="00E31648"/>
    <w:rsid w:val="00E836AA"/>
    <w:rsid w:val="00EE5DAA"/>
    <w:rsid w:val="00F028A1"/>
    <w:rsid w:val="00F07604"/>
    <w:rsid w:val="00F32369"/>
    <w:rsid w:val="00F531E2"/>
    <w:rsid w:val="00F76A02"/>
    <w:rsid w:val="00FA47BA"/>
    <w:rsid w:val="00FF1E75"/>
    <w:rsid w:val="1F7A4545"/>
    <w:rsid w:val="299CC879"/>
    <w:rsid w:val="2CFB8D9F"/>
    <w:rsid w:val="30E1916E"/>
    <w:rsid w:val="315EF2EB"/>
    <w:rsid w:val="340DA810"/>
    <w:rsid w:val="36DF0B78"/>
    <w:rsid w:val="427CD267"/>
    <w:rsid w:val="45834535"/>
    <w:rsid w:val="491D4872"/>
    <w:rsid w:val="4AF95B56"/>
    <w:rsid w:val="6E7F63F7"/>
    <w:rsid w:val="78D21E98"/>
    <w:rsid w:val="7A615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CDE92"/>
  <w15:docId w15:val="{3FF09D8B-E75C-4961-B414-A9B3650AF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Courier" w:hAnsi="Courier" w:cs="Courier"/>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1469DD"/>
    <w:pPr>
      <w:tabs>
        <w:tab w:val="center" w:pos="4680"/>
        <w:tab w:val="right" w:pos="9360"/>
      </w:tabs>
    </w:pPr>
  </w:style>
  <w:style w:type="character" w:customStyle="1" w:styleId="HeaderChar">
    <w:name w:val="Header Char"/>
    <w:basedOn w:val="DefaultParagraphFont"/>
    <w:link w:val="Header"/>
    <w:uiPriority w:val="99"/>
    <w:rsid w:val="001469DD"/>
  </w:style>
  <w:style w:type="paragraph" w:styleId="Footer">
    <w:name w:val="footer"/>
    <w:basedOn w:val="Normal"/>
    <w:link w:val="FooterChar"/>
    <w:uiPriority w:val="99"/>
    <w:unhideWhenUsed/>
    <w:rsid w:val="001469DD"/>
    <w:pPr>
      <w:tabs>
        <w:tab w:val="center" w:pos="4680"/>
        <w:tab w:val="right" w:pos="9360"/>
      </w:tabs>
    </w:pPr>
  </w:style>
  <w:style w:type="character" w:customStyle="1" w:styleId="FooterChar">
    <w:name w:val="Footer Char"/>
    <w:basedOn w:val="DefaultParagraphFont"/>
    <w:link w:val="Footer"/>
    <w:uiPriority w:val="99"/>
    <w:rsid w:val="001469DD"/>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2559AE"/>
    <w:pPr>
      <w:ind w:left="720"/>
      <w:contextualSpacing/>
    </w:pPr>
  </w:style>
  <w:style w:type="paragraph" w:styleId="NoSpacing">
    <w:name w:val="No Spacing"/>
    <w:uiPriority w:val="1"/>
    <w:qFormat/>
    <w:rsid w:val="00922DFB"/>
    <w:pPr>
      <w:widowControl/>
    </w:pPr>
    <w:rPr>
      <w:rFonts w:asciiTheme="minorHAnsi" w:eastAsiaTheme="minorHAnsi" w:hAnsiTheme="minorHAnsi" w:cstheme="minorBidi"/>
      <w:kern w:val="2"/>
      <w14:ligatures w14:val="standardContextual"/>
    </w:rPr>
  </w:style>
  <w:style w:type="character" w:customStyle="1" w:styleId="SubtitleChar">
    <w:name w:val="Subtitle Char"/>
    <w:basedOn w:val="DefaultParagraphFont"/>
    <w:link w:val="Subtitle"/>
    <w:uiPriority w:val="11"/>
    <w:rsid w:val="004E40C6"/>
    <w:rPr>
      <w:rFonts w:ascii="Georgia" w:eastAsia="Georgia" w:hAnsi="Georgia" w:cs="Georgia"/>
      <w:i/>
      <w:color w:val="666666"/>
      <w:sz w:val="48"/>
      <w:szCs w:val="48"/>
    </w:rPr>
  </w:style>
  <w:style w:type="paragraph" w:styleId="Revision">
    <w:name w:val="Revision"/>
    <w:hidden/>
    <w:uiPriority w:val="99"/>
    <w:semiHidden/>
    <w:rsid w:val="0038779B"/>
    <w:pPr>
      <w:widowControl/>
    </w:pPr>
  </w:style>
  <w:style w:type="character" w:styleId="Hyperlink">
    <w:name w:val="Hyperlink"/>
    <w:basedOn w:val="DefaultParagraphFont"/>
    <w:uiPriority w:val="99"/>
    <w:unhideWhenUsed/>
    <w:rsid w:val="00823AF2"/>
    <w:rPr>
      <w:color w:val="0000FF" w:themeColor="hyperlink"/>
      <w:u w:val="single"/>
    </w:rPr>
  </w:style>
  <w:style w:type="character" w:styleId="UnresolvedMention">
    <w:name w:val="Unresolved Mention"/>
    <w:basedOn w:val="DefaultParagraphFont"/>
    <w:uiPriority w:val="99"/>
    <w:semiHidden/>
    <w:unhideWhenUsed/>
    <w:rsid w:val="00823AF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2F5C52"/>
    <w:rPr>
      <w:b/>
      <w:bCs/>
    </w:rPr>
  </w:style>
  <w:style w:type="character" w:customStyle="1" w:styleId="CommentSubjectChar">
    <w:name w:val="Comment Subject Char"/>
    <w:basedOn w:val="CommentTextChar"/>
    <w:link w:val="CommentSubject"/>
    <w:uiPriority w:val="99"/>
    <w:semiHidden/>
    <w:rsid w:val="002F5C5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n.gov/inwp/applications/authenticatio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n.gov/mph/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n.gov/iot/policies-procedures-and-standards/applications-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CQmdBTKbU65pnHL+TUEYVHlmQA==">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</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03E7071FCBE15B4B8E0E1ADC9C195F0A" ma:contentTypeVersion="4" ma:contentTypeDescription="Create a new document." ma:contentTypeScope="" ma:versionID="b5ff0d94eb9cda1c294fd34c9a5d6f8f">
  <xsd:schema xmlns:xsd="http://www.w3.org/2001/XMLSchema" xmlns:xs="http://www.w3.org/2001/XMLSchema" xmlns:p="http://schemas.microsoft.com/office/2006/metadata/properties" xmlns:ns2="bef37dd9-0700-4d0e-8f26-9174973b7e96" targetNamespace="http://schemas.microsoft.com/office/2006/metadata/properties" ma:root="true" ma:fieldsID="0f17d78006ac57c1ea82f2bb1aa917e8" ns2:_="">
    <xsd:import namespace="bef37dd9-0700-4d0e-8f26-9174973b7e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f37dd9-0700-4d0e-8f26-9174973b7e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DBBA7-E1E2-43FE-9176-8787B7D131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81FE2E-4B1C-4B50-B3BB-87ACA25E8E3C}">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4B0D7703-F2B5-4C7E-846D-A423CA37E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f37dd9-0700-4d0e-8f26-9174973b7e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C6A42D-3A3D-4775-B96A-441A0909DBB6}">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249</TotalTime>
  <Pages>4</Pages>
  <Words>1218</Words>
  <Characters>6947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Krueger</dc:creator>
  <cp:lastModifiedBy>Garcia, Christina</cp:lastModifiedBy>
  <cp:revision>86</cp:revision>
  <dcterms:created xsi:type="dcterms:W3CDTF">2025-07-28T18:26:00Z</dcterms:created>
  <dcterms:modified xsi:type="dcterms:W3CDTF">2026-05-14T14:36:00Z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0x01010003E7071FCBE15B4B8E0E1ADC9C195F0A</vt:lpwstr>
  </property>
  <property fmtid="{D5CDD505-2E9C-101B-9397-08002B2CF9AE}" pid="3" name="MediaServiceImageTags">
    <vt:lpwstr/>
  </property>
</Properties>
</file>